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76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  <w:u w:val="none"/>
        </w:rPr>
        <w:br/>
      </w:r>
      <w:r>
        <w:rPr>
          <w:rFonts w:cs="Arial" w:ascii="Verdana" w:hAnsi="Verdana"/>
          <w:b/>
          <w:bCs/>
          <w:color w:val="000000"/>
          <w:sz w:val="22"/>
          <w:szCs w:val="22"/>
          <w:u w:val="none"/>
        </w:rPr>
        <w:t>TERMO DE REFERÊNCIA – LEI 14.133/21  de 01 de abril de 2021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  <w:t>CONTRATAÇÃO DE EMPRESA P</w:t>
      </w:r>
      <w:r>
        <w:rPr>
          <w:rFonts w:eastAsia="Arial" w:cs="Times New Roman" w:ascii="Verdana" w:hAnsi="Verdana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  <w:t>ARA PRESTAÇÃO DE SERVIÇOS DE IMPLEMENTAÇÃO DE PARQUE GRÁFICO TERCEIRIZADO (OUTSOURCING DE IMPRESSÃO) COM FORNECIMENTO DE EQUIPAMENTOS, INSUMOS E LOGÍSTICA PARA O MUNICÍPIO DE SÃO GABRIEL DA PALHA.</w:t>
      </w:r>
    </w:p>
    <w:p>
      <w:pPr>
        <w:pStyle w:val="Normal"/>
        <w:spacing w:lineRule="auto" w:line="276"/>
        <w:jc w:val="center"/>
        <w:rPr>
          <w:rFonts w:ascii="Verdana" w:hAnsi="Verdana" w:eastAsia="Arial" w:cs="Times New Roman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</w:pPr>
      <w:r>
        <w:rPr>
          <w:rFonts w:eastAsia="Arial" w:cs="Times New Roman" w:ascii="Verdana" w:hAnsi="Verdana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</w:r>
    </w:p>
    <w:p>
      <w:pPr>
        <w:pStyle w:val="Normal"/>
        <w:spacing w:lineRule="auto" w:line="276"/>
        <w:jc w:val="center"/>
        <w:rPr>
          <w:rFonts w:ascii="Verdana" w:hAnsi="Verdana" w:eastAsia="Arial" w:cs="Times New Roman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</w:pPr>
      <w:r>
        <w:rPr>
          <w:rFonts w:eastAsia="Arial" w:cs="Times New Roman" w:ascii="Verdana" w:hAnsi="Verdana"/>
          <w:b/>
          <w:bCs/>
          <w:iCs/>
          <w:color w:val="000000"/>
          <w:kern w:val="0"/>
          <w:sz w:val="22"/>
          <w:szCs w:val="22"/>
          <w:u w:val="none"/>
          <w:lang w:val="pt-BR" w:eastAsia="pt-BR" w:bidi="ar-SA"/>
        </w:rPr>
      </w:r>
    </w:p>
    <w:p>
      <w:pPr>
        <w:pStyle w:val="Normal"/>
        <w:spacing w:lineRule="auto" w:line="276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>004486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/2026 de 01 de julho de 2026 (</w:t>
      </w:r>
      <w:r>
        <w:rPr>
          <w:rFonts w:eastAsia="Times New Roman" w:cs="Arial" w:ascii="Verdana" w:hAnsi="Verdana"/>
          <w:b/>
          <w:bCs/>
          <w:iCs/>
          <w:color w:val="000000"/>
          <w:sz w:val="22"/>
          <w:szCs w:val="22"/>
        </w:rPr>
        <w:t xml:space="preserve">SECRETARIA MUNICIPAL DE 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2"/>
          <w:szCs w:val="22"/>
          <w:lang w:val="pt-BR" w:eastAsia="pt-BR" w:bidi="ar-SA"/>
        </w:rPr>
        <w:t>ADMINISTRAÇÃO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)</w:t>
      </w:r>
    </w:p>
    <w:p>
      <w:pPr>
        <w:pStyle w:val="Normal"/>
        <w:spacing w:lineRule="auto" w:line="276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ormal"/>
        <w:spacing w:lineRule="auto" w:line="276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ivel1"/>
        <w:numPr>
          <w:ilvl w:val="0"/>
          <w:numId w:val="2"/>
        </w:numPr>
        <w:spacing w:lineRule="auto" w:line="276" w:before="0" w:after="0"/>
        <w:ind w:hanging="340" w:left="34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Cs/>
          <w:sz w:val="22"/>
          <w:szCs w:val="22"/>
        </w:rPr>
        <w:t xml:space="preserve">DAS CONDIÇÕES GERAIS DA CONTRATAÇÃO 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sz w:val="22"/>
          <w:szCs w:val="22"/>
        </w:rPr>
        <w:t xml:space="preserve">1.1. </w:t>
      </w:r>
      <w:r>
        <w:rPr>
          <w:rFonts w:eastAsia="Arial" w:cs="Times New Roman" w:ascii="Verdana" w:hAnsi="Verdana"/>
          <w:b w:val="false"/>
          <w:bCs w:val="false"/>
          <w:iCs/>
          <w:color w:val="000000"/>
          <w:kern w:val="0"/>
          <w:sz w:val="22"/>
          <w:szCs w:val="22"/>
          <w:u w:val="none"/>
          <w:shd w:fill="auto" w:val="clear"/>
          <w:lang w:val="pt-BR" w:eastAsia="pt-BR" w:bidi="ar-SA"/>
        </w:rPr>
        <w:t xml:space="preserve">Contratação de empresa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kern w:val="0"/>
          <w:sz w:val="22"/>
          <w:szCs w:val="22"/>
          <w:u w:val="none"/>
          <w:shd w:fill="auto" w:val="clear"/>
          <w:lang w:val="pt-BR" w:eastAsia="pt-BR" w:bidi="ar-SA"/>
        </w:rPr>
        <w:t>para Prestação de Serviços de Implementação de Parque Gráfico Terceirizado (Outsourcing de Impressão) com Fornecimento de Equipamentos, Insumos e Logística para uso nos departamentos/secretarias da Prefeitura Municipal de São Gabriel da Palha/ES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  <w:u w:val="none"/>
        </w:rPr>
        <w:t xml:space="preserve">, </w:t>
      </w:r>
      <w:r>
        <w:rPr>
          <w:rFonts w:ascii="Verdana" w:hAnsi="Verdana"/>
          <w:iCs/>
          <w:sz w:val="22"/>
          <w:szCs w:val="22"/>
        </w:rPr>
        <w:t>nos termos da tabela abaixo, conforme condições e exigências estabelecidas neste instrumento e no ETP.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76"/>
        <w:ind w:hanging="0" w:left="0" w:right="0"/>
        <w:jc w:val="both"/>
        <w:rPr>
          <w:rFonts w:ascii="Verdana" w:hAnsi="Verdana"/>
          <w:iCs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</w:r>
    </w:p>
    <w:tbl>
      <w:tblPr>
        <w:tblW w:w="9741" w:type="dxa"/>
        <w:jc w:val="left"/>
        <w:tblInd w:w="-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3300"/>
        <w:gridCol w:w="1012"/>
        <w:gridCol w:w="1144"/>
        <w:gridCol w:w="1802"/>
        <w:gridCol w:w="1695"/>
      </w:tblGrid>
      <w:tr>
        <w:trPr/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>
              <w:rPr>
                <w:rFonts w:cs="Arial" w:ascii="Verdana" w:hAnsi="Verdana"/>
                <w:b/>
                <w:sz w:val="20"/>
                <w:szCs w:val="20"/>
                <w:u w:val="single"/>
              </w:rPr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>
        <w:trPr/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  <w:t>01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 xml:space="preserve">LOCAÇÃO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  <w:shd w:fill="auto" w:val="clear"/>
              </w:rPr>
              <w:t>EQUIPAMENTO IMPRESSORA A4 -  LASER ( TEMPO DE USO MÁXIMO 2 ANOS)</w:t>
            </w: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FUNCIONALIDADES: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IMPRESSÃO, CÓPIA E DIGITALIZAÇÃO (FRENTE E VERSO AUTOMÁTICO).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TECNOLOGIA DE IMPRESSÃO: LASER, LED OU EQUIVALENTE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VELOCIDADE DE IMPRESSÃO: NO MÍNIMO DE 40 PPM EM FORMATO A4 OU CARTA.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QUALIDADE IMPRESSÃO: MÍNIMO DE 1200 X 1200 DPI.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CICLO DE TRABALHO MENSAL: 80.000 PÁGINAS.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PROCESSADOR: MÍNIMO DE 800MHZ.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LINGUAGEM: EMULAÇÃO PCL6, POST SCRIPT, IMPRESSÃO DIRETA PDF.  TELA: LCD COM MÍNIMO 2 LINHAS OU TOUCH;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CONECTIVIDADE: USB 2.0 DE ALTA VELOCIDADE E REDE ETHERNET GIGABIT.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MEMÓRIA: MÍNIMO DE 256 MB.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BANDEJAS MULTIUSO: MÍNIMO 100 FOLHAS  BANDEJA ENTRADA: MÍNIMO 250 FOLHAS.  BANDEJA DE SAÍDA DE PAPEL: MÍNIMO 150 FOLHAS.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DUPLEX: AUTOMÁTICO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TAMANHOS DO PAPEL: OFÍCIO, CARTA, A4, A5, A6, ENVELOPES.</w:t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Arial"/>
                <w:b w:val="false"/>
                <w:bCs w:val="false"/>
                <w:u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u w:val="none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  <w:shd w:fill="auto" w:val="clear"/>
              </w:rPr>
              <w:t>TENSÃO DE ALIMENTAÇÃO 110 VOLTS – 50-60HZ.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  <w:shd w:fill="auto" w:val="clear"/>
              </w:rPr>
              <w:t>(INCLUSO RECARGA DE TONERS COMPATÍVEIS COM O MODELO DA IMPRESSORA)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cs="Arial"/>
                <w:b w:val="false"/>
                <w:bCs w:val="false"/>
                <w:u w:val="none"/>
              </w:rPr>
            </w:pPr>
            <w:r>
              <w:rPr>
                <w:rFonts w:cs="Arial"/>
                <w:b w:val="false"/>
                <w:bCs w:val="false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  <w:t>Mês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cs="Arial"/>
                <w:b w:val="false"/>
                <w:bCs w:val="false"/>
                <w:u w:val="none"/>
              </w:rPr>
            </w:pPr>
            <w:r>
              <w:rPr>
                <w:rFonts w:cs="Arial"/>
                <w:b w:val="false"/>
                <w:bCs w:val="false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  <w:t>57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R$ 129,00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R$ 7.353,00</w:t>
            </w:r>
          </w:p>
        </w:tc>
      </w:tr>
      <w:tr>
        <w:trPr/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02</w:t>
            </w:r>
          </w:p>
        </w:tc>
        <w:tc>
          <w:tcPr>
            <w:tcW w:w="3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CÓPIA/IMPRESSÃO MONO A 4 (MENSAL)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UN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263.970</w:t>
            </w:r>
          </w:p>
        </w:tc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R$ 0,02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R$ 5.279,40</w:t>
            </w:r>
          </w:p>
        </w:tc>
      </w:tr>
      <w:tr>
        <w:trPr/>
        <w:tc>
          <w:tcPr>
            <w:tcW w:w="974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left"/>
              <w:rPr>
                <w:rFonts w:ascii="Verdana" w:hAnsi="Verdana" w:cs="Arial"/>
                <w:b/>
                <w:sz w:val="22"/>
                <w:szCs w:val="22"/>
                <w:u w:val="single"/>
              </w:rPr>
            </w:pPr>
            <w:r>
              <w:rPr>
                <w:rFonts w:cs="Arial" w:ascii="Verdana" w:hAnsi="Verdana"/>
                <w:b/>
                <w:sz w:val="22"/>
                <w:szCs w:val="22"/>
                <w:u w:val="singl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VALOR TOTAL MENSAL: </w:t>
            </w:r>
            <w:r>
              <w:rPr>
                <w:rFonts w:ascii="Verdana" w:hAnsi="Verdana"/>
                <w:b/>
                <w:color w:val="000000"/>
                <w:sz w:val="22"/>
                <w:szCs w:val="22"/>
                <w:lang w:eastAsia="en-US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color w:val="000000"/>
                <w:kern w:val="0"/>
                <w:sz w:val="22"/>
                <w:szCs w:val="22"/>
                <w:lang w:val="pt-BR" w:eastAsia="en-US" w:bidi="ar-SA"/>
              </w:rPr>
              <w:t>12.632,40 (doze mil seiscentos e trinta e dois reais)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left"/>
              <w:rPr>
                <w:rFonts w:eastAsia="Times New Roman" w:cs="Times New Roman"/>
                <w:b/>
                <w:color w:val="000000"/>
                <w:kern w:val="0"/>
                <w:lang w:val="pt-BR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lang w:val="pt-BR" w:eastAsia="en-US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VALOR TOTAL ANUAL: R$ 151.588,80 (cento e cinquenta e um reais, quinhentos e oitenta e oito reais e oitenta centavos)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76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ListParagraph"/>
        <w:widowControl w:val="false"/>
        <w:suppressAutoHyphens w:val="false"/>
        <w:spacing w:lineRule="auto" w:line="276"/>
        <w:ind w:hanging="0" w:left="0" w:right="0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ListParagraph"/>
        <w:suppressAutoHyphens w:val="false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sz w:val="22"/>
          <w:szCs w:val="22"/>
        </w:rPr>
        <w:t>1.2</w:t>
      </w:r>
      <w:r>
        <w:rPr>
          <w:rFonts w:ascii="Verdana" w:hAnsi="Verdana"/>
          <w:b/>
          <w:bCs/>
          <w:iCs/>
          <w:sz w:val="22"/>
          <w:szCs w:val="22"/>
        </w:rPr>
        <w:t>.</w:t>
      </w:r>
      <w:r>
        <w:rPr>
          <w:rFonts w:ascii="Verdana" w:hAnsi="Verdana"/>
          <w:iCs/>
          <w:sz w:val="22"/>
          <w:szCs w:val="22"/>
        </w:rPr>
        <w:t xml:space="preserve"> O objeto desta contratação não se enquadra como sendo de bens/serviço de luxo, conforme Decreto nº 10.818, de 2021.</w:t>
      </w:r>
    </w:p>
    <w:p>
      <w:pPr>
        <w:pStyle w:val="ListParagraph"/>
        <w:suppressAutoHyphens w:val="false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sz w:val="22"/>
          <w:szCs w:val="22"/>
        </w:rPr>
        <w:t>1.3</w:t>
      </w:r>
      <w:r>
        <w:rPr>
          <w:rFonts w:ascii="Verdana" w:hAnsi="Verdana"/>
          <w:iCs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 xml:space="preserve">O prazo de vigência da contratação será de </w:t>
      </w:r>
      <w:r>
        <w:rPr>
          <w:rFonts w:eastAsia="Times New Roman" w:cs="Times New Roman" w:ascii="Verdana" w:hAnsi="Verdana"/>
          <w:sz w:val="22"/>
          <w:szCs w:val="22"/>
        </w:rPr>
        <w:t>12</w:t>
      </w:r>
      <w:r>
        <w:rPr>
          <w:rFonts w:eastAsia="Times New Roman" w:cs="Times New Roman" w:ascii="Verdana" w:hAnsi="Verdana"/>
          <w:color w:val="000000"/>
          <w:sz w:val="22"/>
          <w:szCs w:val="22"/>
        </w:rPr>
        <w:t xml:space="preserve"> (doze) meses</w:t>
      </w:r>
      <w:r>
        <w:rPr>
          <w:rFonts w:eastAsia="Times New Roman" w:cs="Times New Roman" w:ascii="Verdana" w:hAnsi="Verdana"/>
          <w:sz w:val="22"/>
          <w:szCs w:val="22"/>
        </w:rPr>
        <w:t xml:space="preserve">, </w:t>
      </w:r>
      <w:r>
        <w:rPr>
          <w:rFonts w:eastAsia="Times New Roman" w:cs="Times New Roman" w:ascii="Verdana" w:hAnsi="Verdana"/>
          <w:color w:val="000000"/>
          <w:sz w:val="22"/>
          <w:szCs w:val="22"/>
        </w:rPr>
        <w:t>com o início da execução após 30 (trinta) dias contados do recebimento, por parte da proponente vencedora da autorização de fornecimento/execução, podendo o contrato ser prorrogado a critério da administração.</w:t>
      </w:r>
    </w:p>
    <w:p>
      <w:pPr>
        <w:pStyle w:val="ListParagraph"/>
        <w:suppressAutoHyphens w:val="false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1.4. O custo estimado total da contratação é de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  <w:lang w:eastAsia="en-US"/>
        </w:rPr>
        <w:t xml:space="preserve">  - </w:t>
      </w:r>
      <w:r>
        <w:rPr>
          <w:rFonts w:ascii="Verdana" w:hAnsi="Verdana"/>
          <w:b/>
          <w:color w:val="000000"/>
          <w:sz w:val="22"/>
          <w:szCs w:val="22"/>
        </w:rPr>
        <w:t xml:space="preserve">VALOR TOTAL MENSAL: </w:t>
      </w:r>
      <w:r>
        <w:rPr>
          <w:rFonts w:ascii="Verdana" w:hAnsi="Verdana"/>
          <w:b/>
          <w:color w:val="000000"/>
          <w:sz w:val="22"/>
          <w:szCs w:val="22"/>
          <w:lang w:eastAsia="en-US"/>
        </w:rPr>
        <w:t xml:space="preserve">R$ </w:t>
      </w:r>
      <w:r>
        <w:rPr>
          <w:rFonts w:eastAsia="Times New Roman" w:cs="Times New Roman" w:ascii="Verdana" w:hAnsi="Verdana"/>
          <w:b/>
          <w:color w:val="000000"/>
          <w:sz w:val="22"/>
          <w:szCs w:val="22"/>
          <w:lang w:eastAsia="en-US"/>
        </w:rPr>
        <w:t xml:space="preserve"> </w:t>
      </w:r>
      <w:r>
        <w:rPr>
          <w:rFonts w:eastAsia="Times New Roman" w:cs="Times New Roman" w:ascii="Verdana" w:hAnsi="Verdana"/>
          <w:b/>
          <w:color w:val="000000"/>
          <w:kern w:val="0"/>
          <w:sz w:val="22"/>
          <w:szCs w:val="22"/>
          <w:lang w:val="pt-BR" w:eastAsia="en-US" w:bidi="ar-SA"/>
        </w:rPr>
        <w:t xml:space="preserve">12.632,40 (doze mil seiscentos e trinta e dois reais) e 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kern w:val="0"/>
          <w:sz w:val="22"/>
          <w:szCs w:val="22"/>
          <w:lang w:val="pt-BR" w:eastAsia="en-US" w:bidi="ar-SA"/>
        </w:rPr>
        <w:t>VALOR TOTAL ANUAL: R$ 151.588,80 (cento e cinquenta e um reais, quinhentos e oitenta e oito reais e oitenta centavos)</w:t>
      </w:r>
      <w:r>
        <w:rPr>
          <w:rFonts w:ascii="Verdana" w:hAnsi="Verdana"/>
          <w:b w:val="false"/>
          <w:bCs w:val="false"/>
          <w:i w:val="false"/>
          <w:iCs w:val="false"/>
          <w:sz w:val="22"/>
          <w:szCs w:val="22"/>
        </w:rPr>
        <w:t>,</w:t>
      </w:r>
      <w:r>
        <w:rPr>
          <w:rFonts w:ascii="Verdana" w:hAnsi="Verdana"/>
          <w:b w:val="false"/>
          <w:bCs w:val="false"/>
          <w:i/>
          <w:sz w:val="22"/>
          <w:szCs w:val="22"/>
        </w:rPr>
        <w:t xml:space="preserve"> </w:t>
      </w:r>
      <w:r>
        <w:rPr>
          <w:rFonts w:ascii="Verdana" w:hAnsi="Verdana"/>
          <w:b w:val="false"/>
          <w:bCs w:val="false"/>
          <w:iCs/>
          <w:sz w:val="22"/>
          <w:szCs w:val="22"/>
        </w:rPr>
        <w:t>conforme c</w:t>
      </w:r>
      <w:r>
        <w:rPr>
          <w:rFonts w:ascii="Verdana" w:hAnsi="Verdana"/>
          <w:iCs/>
          <w:sz w:val="22"/>
          <w:szCs w:val="22"/>
        </w:rPr>
        <w:t xml:space="preserve">ustos unitários </w:t>
      </w:r>
      <w:r>
        <w:rPr>
          <w:rFonts w:ascii="Verdana" w:hAnsi="Verdana"/>
          <w:sz w:val="22"/>
          <w:szCs w:val="22"/>
        </w:rPr>
        <w:t>apostos nos orçamentos e no quadro comparativo de preços simples em anexo.</w:t>
      </w:r>
    </w:p>
    <w:p>
      <w:pPr>
        <w:pStyle w:val="ListParagraph"/>
        <w:suppressAutoHyphens w:val="false"/>
        <w:spacing w:lineRule="auto" w:line="276"/>
        <w:ind w:hanging="0" w:left="-22" w:right="0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ivel1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Cs/>
          <w:sz w:val="22"/>
          <w:szCs w:val="22"/>
        </w:rPr>
        <w:t>2. FUNDAMENTAÇÃO E DESCRIÇÃO DA NECESSIDADE DA CONTRATAÇÃO</w:t>
      </w:r>
    </w:p>
    <w:p>
      <w:pPr>
        <w:pStyle w:val="PargrafodaLista"/>
        <w:widowControl w:val="false"/>
        <w:numPr>
          <w:ilvl w:val="0"/>
          <w:numId w:val="3"/>
        </w:numPr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>- A contratação de uma empresa para a prestação de serviços de terceirização de parque gráfico, ou seja, a locação de impressoras, é uma necessidade urgente para atender às demandas da administração pública de forma eficiente e econômica.</w:t>
      </w:r>
    </w:p>
    <w:p>
      <w:pPr>
        <w:pStyle w:val="PargrafodaLista"/>
        <w:widowControl w:val="false"/>
        <w:numPr>
          <w:ilvl w:val="0"/>
          <w:numId w:val="3"/>
        </w:numPr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br/>
        <w:t>- Atualmente, as unidades administrativas enfrentam uma série de desafios no que diz respeito à gestão de impressão. Com a diversidade de documentos e materiais que precisam ser impressos diariamente, a manutenção de parques gráficos próprios se torna onerosa e muitas vezes ineficiente. Além disso, a falta de padrões de impressão e controle de custos pode levar a desperdícios e gastos desnecessários.</w:t>
        <w:br/>
        <w:br/>
        <w:t>- Ao contratar uma empresa especializada em terceirização de parques gráficos, a administração pública poderá contar com equipamentos modernos e de alta qualidade, além de serviços especializados de gestão de impressão. Isso permite uma maior eficiência no processo de impressão, com a redução de custos operacionais e o aumento da produtividade dos servidores.</w:t>
        <w:br/>
        <w:br/>
        <w:t>- Além disso, a terceirização do parque gráfico possibilita um melhor controle e gestão dos recursos públicos, garantindo a transparência e a eficiência na utilização dos mesmos. Com a contratação de uma empresa especializada, a administração pública pode garantir a qualidade dos serviços prestados, a segurança da informação e o cumprimento de prazos estabelecidos.</w:t>
      </w:r>
    </w:p>
    <w:p>
      <w:pPr>
        <w:pStyle w:val="PargrafodaLista"/>
        <w:widowControl w:val="false"/>
        <w:numPr>
          <w:ilvl w:val="0"/>
          <w:numId w:val="3"/>
        </w:numPr>
        <w:tabs>
          <w:tab w:val="clear" w:pos="708"/>
          <w:tab w:val="left" w:pos="-2410" w:leader="none"/>
          <w:tab w:val="left" w:pos="567" w:leader="none"/>
        </w:tabs>
        <w:spacing w:lineRule="auto" w:line="276" w:before="0" w:after="0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br/>
        <w:t>- Portanto, a contratação de uma empresa para a prestação de serviços de terceirização de parque gráfico é fundamental para atender às necessidades da administração pública de forma eficiente e econômica, garantindo o interesse público e o bom funcionamento das unidades administrativas da Prefeitura Municipal de São Gabriel da Palha.</w:t>
      </w:r>
    </w:p>
    <w:p>
      <w:pPr>
        <w:pStyle w:val="PargrafodaLista"/>
        <w:widowControl w:val="false"/>
        <w:numPr>
          <w:ilvl w:val="0"/>
          <w:numId w:val="3"/>
        </w:numPr>
        <w:tabs>
          <w:tab w:val="clear" w:pos="708"/>
          <w:tab w:val="left" w:pos="-2410" w:leader="none"/>
          <w:tab w:val="left" w:pos="567" w:leader="none"/>
        </w:tabs>
        <w:spacing w:lineRule="auto" w:line="276" w:before="0" w:after="0"/>
        <w:ind w:hanging="0" w:left="0" w:right="0"/>
        <w:contextualSpacing/>
        <w:jc w:val="both"/>
        <w:rPr>
          <w:rFonts w:ascii="Verdana" w:hAnsi="Verdana" w:eastAsia="Arial" w:cs="Arial"/>
          <w:b w:val="false"/>
          <w:bCs w:val="false"/>
          <w:color w:val="000000"/>
          <w:sz w:val="22"/>
          <w:szCs w:val="22"/>
          <w:shd w:fill="auto" w:val="clear"/>
        </w:rPr>
      </w:pPr>
      <w:r>
        <w:rPr>
          <w:rFonts w:eastAsia="Arial"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</w:r>
    </w:p>
    <w:p>
      <w:pPr>
        <w:pStyle w:val="Nivel1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Cs/>
          <w:sz w:val="22"/>
          <w:szCs w:val="22"/>
        </w:rPr>
        <w:t xml:space="preserve">3. DESCRIÇÃO DA SOLUÇÃO  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3.1</w:t>
      </w:r>
      <w:r>
        <w:rPr>
          <w:rFonts w:cs="Arial" w:ascii="Verdana" w:hAnsi="Verdana"/>
          <w:b/>
          <w:sz w:val="22"/>
          <w:szCs w:val="22"/>
          <w:shd w:fill="auto" w:val="clear"/>
        </w:rPr>
        <w:t xml:space="preserve">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>A solução a ser adotada consiste na contratação de empresa especializada para locação de equipamentos tipo – Impressoras com emissão de cópias para atender as necessidades da Secretaria Municipal de Administração, Educação e Assistência Social. Fornecendo o equipamento “ (TEMPO DE USO MÁXIMO 2 ANOS)” com fornecimento de toners compatível com Modelo/Marca da impressora, com fornecimento de cópias. Garantindo os Insumos (Consumíveis): Fornecimento contínuo de toner, cilindros e peças de reposição (quando necessário). Ofertando Manutenção: Suporte técnico preventivo e corretivo (on-site), garantindo o funcionamento contínuo. Gestão: Software para controle de volume de impressões, gerenciamento de suprimentos e suporte técnico remoto. Fornecer treinamento técnico para reposição dos toners ao servidor “FISCAL DO CONTRATO” que será designado pela Secretaria.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ivel1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Cs/>
          <w:sz w:val="22"/>
          <w:szCs w:val="22"/>
        </w:rPr>
        <w:t>4. REQUISITOS DA CONTRATAÇÃO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4.1. Visando o fiel cumprimento do contrato, a empresa a ser contratada deverá disponibilizar equipamentos com tempo máximo de 2 anos de uso, com tecnologias embarcadas, não sendo aceito dispositivos externos para atender às especificações e os quantitativos de cada um dos equipamentos abaixo relacionado: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  <w:shd w:fill="auto" w:val="clear"/>
        </w:rPr>
        <w:t xml:space="preserve">EQUIPAMENTO IMPRESSORA A4 </w:t>
      </w: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-  LASER ( TEMPO DE USO MÁXIMO 2 ANOS) .  FUNCIONALIDADES: IMPRESSÃO, CÓPIA E DIGITALIZAÇÃO (FRENTE E VERSO AUTOMÁTICO) .  TECNOLOGIA DE IMPRESSÃO: LASER, LED OU EQUIVALENTE  VELOCIDADE DE IMPRESSÃO: NO MÍNIMO DE 40 PPM EM FORMATO A4 OU CARTA.  QUALIDADE IMPRESSÃO: MÍNIMO DE 1200 X 1200 DPI.  CICLO DE TRABALHO MENSAL: 80.000 PÁGINAS.  PROCESSADOR: MÍNIMO DE 800MHZ.  LINGUAGEM: EMULAÇÃO PCL6, POST SCRIPT, IMPRESSÃO DIRETA PDF.  TELA: LCD COM MÍNIMO 2 LINHAS OU TOUCH;  CONECTIVIDADE: USB 2.0 DE ALTA VELOCIDADE E REDE ETHERNET GIGABIT.  MEMÓRIA: MÍNIMO DE 256 MB.  BANDEJAS MULTIUSO: MÍNIMO 100 FOLHAS  BANDEJA ENTRADA: MÍNIMO 250 FOLHAS.  BANDEJA DE SAÍDA DE PAPEL: MÍNIMO 150 FOLHAS.  DUPLEX: AUTOMÁTICO  TAMANHOS DO PAPEL: OFÍCIO, CARTA, A4, A5, A6, ENVELOPES.  TENSÃO DE ALIMENTAÇÃO 110 VOLTS – 50-60HZ.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  <w:shd w:fill="auto" w:val="clear"/>
        </w:rPr>
        <w:t>(INCLUSO RECARGA DE TONERS COMPATÍVEIS COM O MODELO DA IMPRESSORA)</w:t>
      </w: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br/>
      </w:r>
      <w:r>
        <w:rPr>
          <w:rFonts w:cs="Arial" w:ascii="Verdana" w:hAnsi="Verdana"/>
          <w:b/>
          <w:bCs/>
          <w:sz w:val="22"/>
          <w:szCs w:val="22"/>
          <w:shd w:fill="auto" w:val="clear"/>
        </w:rPr>
        <w:br/>
        <w:tab/>
        <w:t>4.2 Da solução para monitoramento, gestão e bilhetagem dos serviços</w:t>
      </w:r>
    </w:p>
    <w:p>
      <w:pPr>
        <w:pStyle w:val="Normal"/>
        <w:spacing w:lineRule="auto" w:line="276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sz w:val="22"/>
          <w:szCs w:val="22"/>
          <w:shd w:fill="auto" w:val="clear"/>
        </w:rPr>
        <w:t>4.2.1. A solução deve atender à produção de impressão para equipamentos da categoria impressoras e multifuncionais.</w:t>
      </w:r>
    </w:p>
    <w:p>
      <w:pPr>
        <w:pStyle w:val="Normal"/>
        <w:spacing w:lineRule="auto" w:line="276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4.2.2. Deve ser disponibilizada e acessível por meio de rede, devendo possuir interface WEB com o usuário no idioma português do Brasil.</w:t>
      </w:r>
    </w:p>
    <w:p>
      <w:pPr>
        <w:pStyle w:val="Normal"/>
        <w:spacing w:lineRule="auto" w:line="276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4.2.3. A solução deverá ser disponibilizada na infraestrutura computacional da CONTRATANTE, rodar em plataforma Windows, nas versões Windows Server 2016 64 bits ou superior, em ambiente virtualizado e totalmente integrada, para a autenticação e autorização de usuários, com o serviço de diretórios Microsoft Active Directory.</w:t>
      </w:r>
    </w:p>
    <w:p>
      <w:pPr>
        <w:pStyle w:val="Normal"/>
        <w:spacing w:lineRule="auto" w:line="276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4.2.4. Todos os componentes da solução deverão ser homologados pela CONTRATANTE antes de entrarem no ambiente de produção.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4.2.5. Todos os softwares necessários à solução de monitoramento, gerenciamento e bilhetagem, incluindo o licenciamento de uso, assistência técnica, banco de dados, mídias de instalação e todos os demais itens correlatos, deverão ser disponibilizados pela CONTRATADA, exceto o sistema operacional que será disponibilizado pela CONTRATANTE.</w:t>
      </w:r>
    </w:p>
    <w:p>
      <w:pPr>
        <w:pStyle w:val="Normal"/>
        <w:spacing w:lineRule="auto" w:line="276"/>
        <w:jc w:val="both"/>
        <w:rPr>
          <w:rFonts w:ascii="Verdana" w:hAnsi="Verdana" w:cs="Arial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  <w:shd w:fill="auto" w:val="clear"/>
        </w:rPr>
        <w:t>4.2.6 O sistema de monitoramento e gestão do ambiente deverá identificar ao menos os seguintes alertas em tempo real:</w:t>
      </w:r>
    </w:p>
    <w:p>
      <w:pPr>
        <w:pStyle w:val="Normal"/>
        <w:spacing w:lineRule="auto" w:line="276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4.2.6.1. Indisponibilidade de equipamentos.</w:t>
      </w:r>
    </w:p>
    <w:p>
      <w:pPr>
        <w:pStyle w:val="Normal"/>
        <w:spacing w:lineRule="auto" w:line="276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4.2.6.2. Falha de componentes dos equipamentos que afetem o seu funcionamento.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4.2.6.3. Atolamento de papel,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4.2.6.4. Baixos níveis de suprimentos,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4.2.6.5. Esgotamento de suprimentos,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4.2.7. Deve permitir efetuar, no mínimo, alterações de configuração, checagem da situação da impressão, verificação do nível dos consumíveis de impressão,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4.2.8. Deve realizar a leitura dos contadores físicos dos equipamentos.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4.2.9. Deve exibir a localização dos equipamentos utilizados na solução contratada, instalados na rede, com possibilidade de agrupar no mínimo por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estrutura organizacional (Unidade/Andar/Sala) e centros de custo.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4.2.10. Permitir a geração de relatórios e gráficos,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sz w:val="22"/>
          <w:szCs w:val="22"/>
          <w:shd w:fill="auto" w:val="clear"/>
        </w:rPr>
        <w:t>4.3. A contratada deverá possuir sistema de abertura de chamados online para solicitações de suprimentos, manutenção preventiva e corretiva.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4.4. Os produtos/equipamentos deverão ser novos, em perfeito estado de conservação e entregues devidamente embalados, acondicionados e transportados com segurança e sob a responsabilidade da contratada, no local indicado pelo órgão emissor da autorização de fornecimento (município consorciado), que recusará o recebimento se o objeto for entregue em desconformidade com esta previsão.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4.5. O recebimento definitivo do objeto somente se efetivará com a atestação referida anteriormente.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4.6. No caso de defeitos ou imperfeições nos produtos/equipamentos, os mesmos serão recusados, cabendo à fornecedora contratada substituí-los, repará-los ou repô-los por outros com as mesmas características exigidas neste termo, no prazo máximo de 48 (quarenta e oito) horas, contados a partir da solicitação de substituição.</w:t>
      </w:r>
    </w:p>
    <w:p>
      <w:pPr>
        <w:pStyle w:val="Normal"/>
        <w:spacing w:lineRule="auto" w:line="276" w:before="0" w:after="0"/>
        <w:jc w:val="both"/>
        <w:rPr>
          <w:rFonts w:ascii="Verdana" w:hAnsi="Verdana" w:cs="Arial"/>
          <w:sz w:val="22"/>
          <w:szCs w:val="22"/>
          <w:shd w:fill="auto" w:val="clear"/>
        </w:rPr>
      </w:pPr>
      <w:r>
        <w:rPr>
          <w:rFonts w:cs="Arial" w:ascii="Verdana" w:hAnsi="Verdana"/>
          <w:sz w:val="22"/>
          <w:szCs w:val="22"/>
          <w:shd w:fill="auto" w:val="clear"/>
        </w:rPr>
      </w:r>
    </w:p>
    <w:p>
      <w:pPr>
        <w:pStyle w:val="Nivel1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sz w:val="22"/>
          <w:szCs w:val="22"/>
        </w:rPr>
        <w:t xml:space="preserve">5. MODELO DE EXECUÇÃO CONTRATUAL </w:t>
      </w:r>
    </w:p>
    <w:p>
      <w:pPr>
        <w:pStyle w:val="ListParagraph"/>
        <w:tabs>
          <w:tab w:val="clear" w:pos="708"/>
          <w:tab w:val="left" w:pos="0" w:leader="none"/>
          <w:tab w:val="left" w:pos="450" w:leader="none"/>
        </w:tabs>
        <w:spacing w:lineRule="auto" w:line="276"/>
        <w:ind w:firstLine="57" w:left="-57" w:right="0"/>
        <w:jc w:val="both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iCs/>
          <w:sz w:val="22"/>
          <w:szCs w:val="22"/>
        </w:rPr>
        <w:t>5.1.</w:t>
      </w:r>
      <w:r>
        <w:rPr>
          <w:rFonts w:cs="Times New Roman" w:ascii="Verdana" w:hAnsi="Verdana"/>
          <w:bCs/>
          <w:iCs/>
          <w:sz w:val="22"/>
          <w:szCs w:val="22"/>
        </w:rPr>
        <w:t xml:space="preserve"> O prazo de vigência do contrato será de 12 (doze) meses</w:t>
      </w:r>
      <w:r>
        <w:rPr>
          <w:rFonts w:eastAsia="Times New Roman" w:cs="Times New Roman" w:ascii="Verdana" w:hAnsi="Verdana"/>
          <w:bCs/>
          <w:iCs/>
          <w:sz w:val="22"/>
          <w:szCs w:val="22"/>
        </w:rPr>
        <w:t>, contados</w:t>
      </w:r>
      <w:r>
        <w:rPr>
          <w:rFonts w:cs="Times New Roman" w:ascii="Verdana" w:hAnsi="Verdana"/>
          <w:bCs/>
          <w:iCs/>
          <w:sz w:val="22"/>
          <w:szCs w:val="22"/>
        </w:rPr>
        <w:t xml:space="preserve"> 30 (trinta) dias a partir da confirmação de recebimento da autorização de fornecimento/execução emitida pelo Departamento de Compras e Contratos.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5.2.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cs="Arial" w:ascii="Verdana" w:hAnsi="Verdana"/>
          <w:b w:val="false"/>
          <w:bCs w:val="false"/>
          <w:sz w:val="22"/>
          <w:szCs w:val="22"/>
        </w:rPr>
        <w:t>Os serviços serão executados na Prefeitura Municipal de São Gabriel da Palha.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5.21. Local da Entrega: </w:t>
      </w:r>
      <w:r>
        <w:rPr>
          <w:rFonts w:cs="Arial" w:ascii="Verdana" w:hAnsi="Verdana"/>
          <w:b w:val="false"/>
          <w:bCs/>
          <w:sz w:val="22"/>
          <w:szCs w:val="22"/>
        </w:rPr>
        <w:t>Praça Vicente Glazar, 159, Bairro Glória – Almoxarifado Central da Prefeitura</w:t>
      </w:r>
      <w:r>
        <w:rPr>
          <w:rFonts w:eastAsia="Times New Roman" w:cs="Arial" w:ascii="Verdana" w:hAnsi="Verdana"/>
          <w:b w:val="false"/>
          <w:bCs/>
          <w:color w:val="auto"/>
          <w:kern w:val="0"/>
          <w:sz w:val="22"/>
          <w:szCs w:val="22"/>
          <w:lang w:val="pt-BR" w:eastAsia="zh-CN" w:bidi="ar-SA"/>
        </w:rPr>
        <w:t xml:space="preserve"> - </w:t>
      </w:r>
      <w:r>
        <w:rPr>
          <w:rFonts w:cs="Arial" w:ascii="Verdana" w:hAnsi="Verdana"/>
          <w:b w:val="false"/>
          <w:bCs/>
          <w:sz w:val="22"/>
          <w:szCs w:val="22"/>
        </w:rPr>
        <w:t>São Gabriel da Palha – ES</w:t>
      </w:r>
      <w:r>
        <w:rPr>
          <w:rFonts w:cs="Arial" w:ascii="Verdana" w:hAnsi="Verdana"/>
          <w:b w:val="false"/>
          <w:bCs/>
          <w:sz w:val="22"/>
          <w:szCs w:val="22"/>
          <w:lang w:val="pt-BR"/>
        </w:rPr>
        <w:t xml:space="preserve"> </w:t>
      </w:r>
      <w:r>
        <w:rPr>
          <w:rFonts w:cs="Arial" w:ascii="Verdana" w:hAnsi="Verdana"/>
          <w:b w:val="false"/>
          <w:bCs/>
          <w:sz w:val="22"/>
          <w:szCs w:val="22"/>
        </w:rPr>
        <w:t>CEP 29.780-000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5.2.2. CONTATO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Tel: (27) 3727-1366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Tel: (27) 99645-5655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Email: administracao@saogabriel.es.gov.br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Responsável: Secretaria Municipal de Administração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>, Educação e Assistência Social.</w:t>
      </w:r>
    </w:p>
    <w:p>
      <w:pPr>
        <w:pStyle w:val="Nivel2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2"/>
          <w:szCs w:val="22"/>
        </w:rPr>
        <w:t>5.3</w:t>
      </w:r>
      <w:r>
        <w:rPr>
          <w:rFonts w:cs="Times New Roman" w:ascii="Verdana" w:hAnsi="Verdana"/>
          <w:b/>
          <w:bCs/>
          <w:iCs/>
          <w:color w:val="auto"/>
          <w:sz w:val="22"/>
          <w:szCs w:val="22"/>
        </w:rPr>
        <w:t xml:space="preserve">. </w:t>
      </w:r>
      <w:r>
        <w:rPr>
          <w:rFonts w:cs="Times New Roman" w:ascii="Verdana" w:hAnsi="Verdana"/>
          <w:bCs/>
          <w:iCs/>
          <w:color w:val="auto"/>
          <w:sz w:val="22"/>
          <w:szCs w:val="22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color w:val="auto"/>
          <w:sz w:val="22"/>
          <w:szCs w:val="22"/>
        </w:rPr>
        <w:t>força</w:t>
      </w:r>
      <w:r>
        <w:rPr>
          <w:rFonts w:cs="Times New Roman" w:ascii="Verdana" w:hAnsi="Verdana"/>
          <w:bCs/>
          <w:iCs/>
          <w:color w:val="auto"/>
          <w:sz w:val="22"/>
          <w:szCs w:val="22"/>
        </w:rPr>
        <w:t xml:space="preserve"> maior.</w:t>
      </w:r>
    </w:p>
    <w:p>
      <w:pPr>
        <w:pStyle w:val="Nivel2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color w:val="auto"/>
          <w:sz w:val="22"/>
          <w:szCs w:val="22"/>
        </w:rPr>
        <w:t>5.4.</w:t>
      </w:r>
      <w:r>
        <w:rPr>
          <w:rFonts w:cs="Times New Roman" w:ascii="Verdana" w:hAnsi="Verdana"/>
          <w:bCs/>
          <w:color w:val="auto"/>
          <w:sz w:val="22"/>
          <w:szCs w:val="22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>
      <w:pPr>
        <w:pStyle w:val="ListParagraph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5.5.</w:t>
      </w:r>
      <w:r>
        <w:rPr>
          <w:rFonts w:ascii="Verdana" w:hAnsi="Verdana"/>
          <w:sz w:val="22"/>
          <w:szCs w:val="22"/>
        </w:rPr>
        <w:t xml:space="preserve"> A conferência </w:t>
      </w:r>
      <w:r>
        <w:rPr>
          <w:rFonts w:eastAsia="Times New Roman" w:cs="Times New Roman" w:ascii="Verdana" w:hAnsi="Verdana"/>
          <w:sz w:val="22"/>
          <w:szCs w:val="22"/>
        </w:rPr>
        <w:t>dos itens</w:t>
      </w:r>
      <w:r>
        <w:rPr>
          <w:rFonts w:ascii="Verdana" w:hAnsi="Verdana"/>
          <w:sz w:val="22"/>
          <w:szCs w:val="22"/>
        </w:rPr>
        <w:t xml:space="preserve"> deverá ser acompanhada por um servidor </w:t>
      </w:r>
      <w:r>
        <w:rPr>
          <w:rFonts w:eastAsia="Times New Roman" w:cs="Times New Roman" w:ascii="Verdana" w:hAnsi="Verdana"/>
          <w:sz w:val="22"/>
          <w:szCs w:val="22"/>
        </w:rPr>
        <w:t>da secretaria requisitante</w:t>
      </w:r>
      <w:r>
        <w:rPr>
          <w:rFonts w:ascii="Verdana" w:hAnsi="Verdana"/>
          <w:sz w:val="22"/>
          <w:szCs w:val="22"/>
        </w:rPr>
        <w:t>, a fim de zelar pela qualidade e quantidade dos itens a serem adquiridos.</w:t>
      </w:r>
    </w:p>
    <w:p>
      <w:pPr>
        <w:pStyle w:val="Nivel2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color w:val="auto"/>
          <w:sz w:val="22"/>
          <w:szCs w:val="22"/>
        </w:rPr>
        <w:t>5.6.</w:t>
      </w:r>
      <w:r>
        <w:rPr>
          <w:rFonts w:cs="Times New Roman" w:ascii="Verdana" w:hAnsi="Verdana"/>
          <w:bCs/>
          <w:color w:val="auto"/>
          <w:sz w:val="22"/>
          <w:szCs w:val="22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>
      <w:pPr>
        <w:pStyle w:val="ListParagraph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5.7.</w:t>
      </w:r>
      <w:r>
        <w:rPr>
          <w:rFonts w:ascii="Verdana" w:hAnsi="Verdana"/>
          <w:b/>
          <w:bCs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O recebimento provisório ou definitivo não excluirá a responsabilidade </w:t>
      </w:r>
      <w:r>
        <w:rPr>
          <w:rFonts w:eastAsia="Times New Roman" w:cs="Times New Roman" w:ascii="Verdana" w:hAnsi="Verdana"/>
          <w:sz w:val="22"/>
          <w:szCs w:val="22"/>
        </w:rPr>
        <w:t>da contratada pelos prejuízos resultantes da incorreta execução do contrato.</w:t>
      </w:r>
    </w:p>
    <w:p>
      <w:pPr>
        <w:pStyle w:val="Nivel2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iCs/>
          <w:color w:val="auto"/>
          <w:sz w:val="22"/>
          <w:szCs w:val="22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Nivel2"/>
        <w:spacing w:lineRule="auto" w:line="276" w:before="0" w:after="0"/>
        <w:ind w:hanging="0" w:left="0" w:right="0"/>
        <w:rPr>
          <w:rFonts w:cs="Times New Roman"/>
          <w:b w:val="false"/>
          <w:bCs w:val="false"/>
          <w:iCs/>
          <w:color w:val="auto"/>
        </w:rPr>
      </w:pPr>
      <w:r>
        <w:rPr>
          <w:rFonts w:cs="Times New Roman"/>
          <w:b w:val="false"/>
          <w:bCs w:val="false"/>
          <w:iCs/>
          <w:color w:val="auto"/>
        </w:rPr>
      </w:r>
    </w:p>
    <w:p>
      <w:pPr>
        <w:pStyle w:val="Nivel2"/>
        <w:spacing w:lineRule="auto" w:line="276" w:before="0" w:after="0"/>
        <w:ind w:hanging="0" w:left="0" w:right="0"/>
        <w:rPr>
          <w:rFonts w:ascii="Verdana" w:hAnsi="Verdana"/>
          <w:b/>
          <w:bCs/>
          <w:sz w:val="22"/>
          <w:szCs w:val="22"/>
        </w:rPr>
      </w:pPr>
      <w:r>
        <w:rPr>
          <w:rFonts w:cs="Times New Roman" w:ascii="Verdana" w:hAnsi="Verdana"/>
          <w:b/>
          <w:bCs/>
          <w:iCs/>
          <w:color w:val="auto"/>
          <w:sz w:val="22"/>
          <w:szCs w:val="22"/>
        </w:rPr>
        <w:tab/>
        <w:t>5.9. DISTRIBUIÇÃO POR UG</w:t>
      </w:r>
    </w:p>
    <w:p>
      <w:pPr>
        <w:pStyle w:val="Nivel2"/>
        <w:spacing w:lineRule="auto" w:line="276" w:before="0" w:after="0"/>
        <w:ind w:hanging="0" w:left="0" w:right="0"/>
        <w:rPr>
          <w:rFonts w:cs="Times New Roman"/>
          <w:b w:val="false"/>
          <w:bCs w:val="false"/>
          <w:iCs/>
          <w:color w:val="auto"/>
        </w:rPr>
      </w:pPr>
      <w:r>
        <w:rPr>
          <w:rFonts w:cs="Times New Roman"/>
          <w:b w:val="false"/>
          <w:bCs w:val="false"/>
          <w:iCs/>
          <w:color w:val="auto"/>
        </w:rPr>
      </w:r>
    </w:p>
    <w:tbl>
      <w:tblPr>
        <w:tblW w:w="9750" w:type="dxa"/>
        <w:jc w:val="left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17"/>
        <w:gridCol w:w="5783"/>
        <w:gridCol w:w="881"/>
        <w:gridCol w:w="1250"/>
        <w:gridCol w:w="919"/>
      </w:tblGrid>
      <w:tr>
        <w:trPr>
          <w:trHeight w:val="100" w:hRule="atLeast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Geral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Educação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Social</w:t>
            </w:r>
          </w:p>
        </w:tc>
      </w:tr>
      <w:tr>
        <w:trPr/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 w:val="false"/>
                <w:bCs w:val="false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01</w:t>
            </w:r>
          </w:p>
        </w:tc>
        <w:tc>
          <w:tcPr>
            <w:tcW w:w="578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b w:val="false"/>
                <w:bCs w:val="false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EQUIPAMENTO IMPRESSORA A4 -  LASER (TEMPO DE USO MÁXIMO 2 ANOS) .  FUNCIONALIDADES: IMPRESSÃO, CÓPIA E DIGITALIZAÇÃO (FRENTE E VERSO AUTOMÁTICO) .  TECNOLOGIA DE IMPRESSÃO: LASER, LED OU EQUIVALENTE  VELOCIDADE DE IMPRESSÃO: NO MÍNIMO DE 40 PPM EM FORMATO A4 OU CARTA.  QUALIDADE IMPRESSÃO: MÍNIMO DE 1200 X 1200 DPI.  CICLO DE TRABALHO MENSAL: 80.000 PÁGINAS.  PROCESSADOR: MÍNIMO DE 800MHZ.  LINGUAGEM: EMULAÇÃO PCL6, POST SCRIPT, IMPRESSÃO DIRETA PDF.  TELA: LCD COM MÍNIMO 2 LINHAS OU TOUCH;  CONECTIVIDADE: USB 2.0 DE ALTA VELOCIDADE E REDE ETHERNET GIGABIT.  MEMÓRIA: MÍNIMO DE 256 MB.  BANDEJAS MULTIUSO: MÍNIMO 100 FOLHAS  BANDEJA ENTRADA: MÍNIMO 250 FOLHAS.  BANDEJA DE SAÍDA DE PAPEL: MÍNIMO 150 FOLHAS.  DUPLEX: AUTOMÁTICO  TAMANHOS DO PAPEL: OFÍCIO, CARTA, A4, A5, A6, ENVELOPES.  TENSÃO DE ALIMENTAÇÃO 110 VOLTS – 50-60HZ.</w:t>
              <w:br/>
            </w:r>
          </w:p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b w:val="false"/>
                <w:bCs w:val="false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(INCLUSO RECARGA DE TONERS COMPATÍVEIS COM O MODELO DA IMPRESSORA)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b w:val="false"/>
                <w:bCs w:val="false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25</w:t>
            </w: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b w:val="false"/>
                <w:bCs w:val="false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22</w:t>
            </w: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b w:val="false"/>
                <w:bCs w:val="false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78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CÓPIA / IMPRESSÃO MONO A4 (MENSAL)</w:t>
            </w:r>
          </w:p>
        </w:tc>
        <w:tc>
          <w:tcPr>
            <w:tcW w:w="88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2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203.970</w:t>
            </w:r>
          </w:p>
        </w:tc>
        <w:tc>
          <w:tcPr>
            <w:tcW w:w="9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20.000</w:t>
            </w:r>
          </w:p>
        </w:tc>
      </w:tr>
    </w:tbl>
    <w:p>
      <w:pPr>
        <w:pStyle w:val="Normal"/>
        <w:spacing w:lineRule="auto" w:line="276" w:before="0" w:after="0"/>
        <w:ind w:hanging="0" w:left="0" w:right="0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ivel1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sz w:val="22"/>
          <w:szCs w:val="22"/>
        </w:rPr>
        <w:t xml:space="preserve">6. MODELO DE GESTÃO DO CONTRATO 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ab/>
        <w:t>6.1. ROTINAS DE FISCALIZAÇÃO CONTRATUAL</w:t>
      </w:r>
    </w:p>
    <w:p>
      <w:pPr>
        <w:pStyle w:val="Nivel2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sz w:val="22"/>
          <w:szCs w:val="22"/>
        </w:rPr>
        <w:t>- Haverá celebração de contrato.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-</w:t>
      </w:r>
      <w:r>
        <w:rPr>
          <w:rFonts w:ascii="Verdana" w:hAnsi="Verdana"/>
          <w:sz w:val="22"/>
          <w:szCs w:val="22"/>
        </w:rPr>
        <w:t xml:space="preserve"> A instalação </w:t>
      </w:r>
      <w:r>
        <w:rPr>
          <w:rFonts w:eastAsia="Times New Roman" w:cs="Times New Roman" w:ascii="Verdana" w:hAnsi="Verdana"/>
          <w:sz w:val="22"/>
          <w:szCs w:val="22"/>
        </w:rPr>
        <w:t>do item</w:t>
      </w:r>
      <w:r>
        <w:rPr>
          <w:rFonts w:ascii="Verdana" w:hAnsi="Verdana"/>
          <w:sz w:val="22"/>
          <w:szCs w:val="22"/>
        </w:rPr>
        <w:t xml:space="preserve"> deverá ser acompanhada por um servidor </w:t>
      </w:r>
      <w:r>
        <w:rPr>
          <w:rFonts w:eastAsia="Times New Roman" w:cs="Times New Roman" w:ascii="Verdana" w:hAnsi="Verdana"/>
          <w:sz w:val="22"/>
          <w:szCs w:val="22"/>
        </w:rPr>
        <w:t>da secretaria requisitante</w:t>
      </w:r>
      <w:r>
        <w:rPr>
          <w:rFonts w:ascii="Verdana" w:hAnsi="Verdana"/>
          <w:sz w:val="22"/>
          <w:szCs w:val="22"/>
        </w:rPr>
        <w:t>, a fim de zelar pela qualidade e quantidade dos itens a serem adquiridos.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-</w:t>
      </w:r>
      <w:r>
        <w:rPr>
          <w:rFonts w:ascii="Verdana" w:hAnsi="Verdana"/>
          <w:sz w:val="22"/>
          <w:szCs w:val="22"/>
        </w:rPr>
        <w:t xml:space="preserve">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-</w:t>
      </w:r>
      <w:r>
        <w:rPr>
          <w:rFonts w:ascii="Verdana" w:hAnsi="Verdana"/>
          <w:sz w:val="22"/>
          <w:szCs w:val="22"/>
        </w:rPr>
        <w:t xml:space="preserve"> Somente o contratado será responsável pelos encargos trabalhistas, previdenciários, fiscais e comerciais resultantes da execução dos serviços.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-</w:t>
      </w:r>
      <w:r>
        <w:rPr>
          <w:rFonts w:ascii="Verdana" w:hAnsi="Verdana"/>
          <w:sz w:val="22"/>
          <w:szCs w:val="22"/>
        </w:rPr>
        <w:t xml:space="preserve">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276" w:before="0" w:after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sz w:val="22"/>
          <w:szCs w:val="22"/>
        </w:rPr>
        <w:t>-</w:t>
      </w:r>
      <w:r>
        <w:rPr>
          <w:rFonts w:cs="Times New Roman" w:ascii="Verdana" w:hAnsi="Verdana"/>
          <w:sz w:val="22"/>
          <w:szCs w:val="22"/>
        </w:rPr>
        <w:t xml:space="preserve">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Nivel2"/>
        <w:spacing w:lineRule="auto" w:line="276" w:before="0" w:after="0"/>
        <w:rPr>
          <w:rFonts w:cs="Times New Roman"/>
        </w:rPr>
      </w:pPr>
      <w:r>
        <w:rPr>
          <w:rFonts w:cs="Times New Roman"/>
        </w:rPr>
      </w:r>
    </w:p>
    <w:p>
      <w:pPr>
        <w:pStyle w:val="Nivel2"/>
        <w:spacing w:lineRule="auto" w:line="276" w:before="0" w:after="0"/>
        <w:rPr>
          <w:rFonts w:ascii="Verdana" w:hAnsi="Verdana"/>
          <w:sz w:val="21"/>
          <w:szCs w:val="21"/>
        </w:rPr>
      </w:pPr>
      <w:r>
        <w:rPr>
          <w:rFonts w:cs="Times New Roman" w:ascii="Verdana" w:hAnsi="Verdana"/>
          <w:b/>
          <w:bCs/>
          <w:sz w:val="21"/>
          <w:szCs w:val="21"/>
        </w:rPr>
        <w:tab/>
        <w:t xml:space="preserve">6.2. </w:t>
      </w:r>
      <w:r>
        <w:rPr>
          <w:rFonts w:cs="Arial" w:ascii="Verdana" w:hAnsi="Verdana"/>
          <w:b/>
          <w:bCs/>
          <w:color w:val="000000"/>
          <w:sz w:val="21"/>
          <w:szCs w:val="21"/>
        </w:rPr>
        <w:t>OBRIGAÇÕES DA CONTRATANTE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b/>
          <w:bCs/>
          <w:sz w:val="21"/>
          <w:szCs w:val="21"/>
        </w:rPr>
      </w:pPr>
      <w:r>
        <w:rPr>
          <w:rFonts w:cs="Arial" w:ascii="Verdana" w:hAnsi="Verdana"/>
          <w:b/>
          <w:bCs/>
          <w:color w:val="000000"/>
          <w:sz w:val="21"/>
          <w:szCs w:val="21"/>
        </w:rPr>
        <w:t>6.2.1. A CONTRATANTE DEVERÁ: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cs="Arial" w:ascii="Verdana" w:hAnsi="Verdana"/>
          <w:color w:val="000000"/>
          <w:sz w:val="21"/>
          <w:szCs w:val="21"/>
        </w:rPr>
        <w:t xml:space="preserve">a) </w:t>
      </w:r>
      <w:r>
        <w:rPr>
          <w:rFonts w:cs="Arial" w:ascii="Verdana" w:hAnsi="Verdana"/>
          <w:b w:val="false"/>
          <w:strike w:val="false"/>
          <w:dstrike w:val="false"/>
          <w:color w:val="000000"/>
          <w:sz w:val="21"/>
          <w:szCs w:val="21"/>
          <w:u w:val="none"/>
          <w:effect w:val="none"/>
        </w:rPr>
        <w:t>Compete à CONTRATANTE monitorar e garantir o fiel cumprimento de todas as obrigações e exigências técnicas estabelecidas neste instrumento.</w:t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cs="Arial" w:ascii="Verdana" w:hAnsi="Verdana"/>
          <w:b w:val="false"/>
          <w:strike w:val="false"/>
          <w:dstrike w:val="false"/>
          <w:color w:val="000000"/>
          <w:sz w:val="21"/>
          <w:szCs w:val="21"/>
          <w:u w:val="none"/>
          <w:effect w:val="none"/>
        </w:rPr>
        <w:t xml:space="preserve">b) Efetuar o pagamento do preço ajustado, nos prazos e condições previstos neste instrumento; </w:t>
      </w:r>
    </w:p>
    <w:p>
      <w:pPr>
        <w:pStyle w:val="BodyText"/>
        <w:spacing w:lineRule="auto" w:line="276" w:before="0" w:after="83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  <w:t xml:space="preserve">c) </w:t>
      </w:r>
      <w:r>
        <w:rPr>
          <w:rFonts w:cs="Arial" w:ascii="Verdana" w:hAnsi="Verdana"/>
          <w:color w:val="000000"/>
          <w:sz w:val="21"/>
          <w:szCs w:val="21"/>
        </w:rPr>
        <w:t>Designar representante(s) formal(is) para o acompanhamento e a fiscalização da execução contratual.</w:t>
      </w:r>
    </w:p>
    <w:p>
      <w:pPr>
        <w:pStyle w:val="BodyText"/>
        <w:spacing w:lineRule="auto" w:line="276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>d) O Fiscal de Contrato designado por cada secretaria, acompanhará e registrará a execução da contratada, visando à garantia da qualidade e das condições “pactuadas."</w:t>
      </w:r>
    </w:p>
    <w:p>
      <w:pPr>
        <w:pStyle w:val="BodyText"/>
        <w:spacing w:lineRule="auto" w:line="276" w:before="57" w:after="19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 xml:space="preserve">e) </w:t>
      </w:r>
      <w:r>
        <w:rPr>
          <w:rFonts w:cs="Arial" w:ascii="Verdana" w:hAnsi="Verdana"/>
          <w:b w:val="false"/>
          <w:strike w:val="false"/>
          <w:dstrike w:val="false"/>
          <w:color w:val="000000"/>
          <w:sz w:val="21"/>
          <w:szCs w:val="21"/>
          <w:u w:val="none"/>
          <w:effect w:val="none"/>
        </w:rPr>
        <w:t xml:space="preserve">Constatadas falhas ou irregularidades, o representante da CONTRATANTE notificará a CONTRATADA, que deverá saná-las no prazo máximo de 05 (cinco) dias consecutivos, contados do recebimento da notificação. </w:t>
      </w:r>
    </w:p>
    <w:p>
      <w:pPr>
        <w:pStyle w:val="Normal"/>
        <w:spacing w:lineRule="auto" w:line="276" w:before="57" w:after="57"/>
        <w:jc w:val="both"/>
        <w:rPr>
          <w:rFonts w:ascii="Verdana" w:hAnsi="Verdana" w:cs="Arial"/>
          <w:b/>
          <w:bCs/>
          <w:color w:val="000000"/>
          <w:sz w:val="21"/>
          <w:szCs w:val="21"/>
        </w:rPr>
      </w:pPr>
      <w:r>
        <w:rPr>
          <w:rFonts w:cs="Arial" w:ascii="Verdana" w:hAnsi="Verdana"/>
          <w:b/>
          <w:bCs/>
          <w:color w:val="000000"/>
          <w:sz w:val="21"/>
          <w:szCs w:val="21"/>
        </w:rPr>
        <w:tab/>
        <w:t>6.3. OBRIGAÇÕES DA CONTRATADA</w:t>
      </w:r>
    </w:p>
    <w:p>
      <w:pPr>
        <w:pStyle w:val="BodyText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cs="Arial" w:ascii="Verdana" w:hAnsi="Verdana"/>
          <w:b w:val="false"/>
          <w:strike w:val="false"/>
          <w:dstrike w:val="false"/>
          <w:color w:val="000000"/>
          <w:sz w:val="21"/>
          <w:szCs w:val="21"/>
          <w:u w:val="none"/>
          <w:effect w:val="none"/>
        </w:rPr>
        <w:t>a) Executar o objeto conforme o Contrato, este TR e sua proposta, assumindo riscos e custos (</w:t>
      </w: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>Entregar os materiais nos locais e prazos solicitados, garantindo a integridade dos itens).</w:t>
      </w:r>
    </w:p>
    <w:p>
      <w:pPr>
        <w:pStyle w:val="BodyText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>b) Substituir, em até 24 horas após notificação, produtos rejeitados (em desacordo ou danificados) sem custo à CONTRATANTE;</w:t>
      </w:r>
    </w:p>
    <w:p>
      <w:pPr>
        <w:pStyle w:val="BodyText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>c) Arcar com todos os encargos (fiscais, trabalhistas, previdenciários, taxas, seguros e fretes) sobre o fornecimento;</w:t>
      </w:r>
    </w:p>
    <w:p>
      <w:pPr>
        <w:pStyle w:val="BodyText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>d) Manter as condições de habilitação durante o contratual;</w:t>
      </w:r>
    </w:p>
    <w:p>
      <w:pPr>
        <w:pStyle w:val="BodyText"/>
        <w:spacing w:lineRule="auto" w:line="276" w:before="57" w:after="5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b w:val="false"/>
          <w:strike w:val="false"/>
          <w:dstrike w:val="false"/>
          <w:sz w:val="21"/>
          <w:szCs w:val="21"/>
          <w:u w:val="none"/>
          <w:effect w:val="none"/>
        </w:rPr>
        <w:t>e) Responsabilizar-se por danos a terceiros ou à administração causados por seus prepostos</w:t>
      </w:r>
      <w:r>
        <w:rPr>
          <w:rFonts w:ascii="Verdana" w:hAnsi="Verdana"/>
          <w:sz w:val="21"/>
          <w:szCs w:val="21"/>
        </w:rPr>
        <w:t xml:space="preserve"> </w:t>
      </w:r>
    </w:p>
    <w:p>
      <w:pPr>
        <w:pStyle w:val="BodyText"/>
        <w:spacing w:lineRule="auto" w:line="240" w:before="57" w:after="57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</w:r>
    </w:p>
    <w:p>
      <w:pPr>
        <w:pStyle w:val="Normal"/>
        <w:spacing w:lineRule="auto" w:line="276" w:before="57" w:after="57"/>
        <w:jc w:val="both"/>
        <w:rPr>
          <w:rFonts w:ascii="Verdana" w:hAnsi="Verdana"/>
          <w:b/>
          <w:bCs/>
          <w:sz w:val="21"/>
          <w:szCs w:val="21"/>
        </w:rPr>
      </w:pPr>
      <w:r>
        <w:rPr>
          <w:rFonts w:cs="Arial" w:ascii="Verdana" w:hAnsi="Verdana"/>
          <w:b/>
          <w:bCs/>
          <w:color w:val="000000"/>
          <w:sz w:val="21"/>
          <w:szCs w:val="21"/>
        </w:rPr>
        <w:tab/>
        <w:t>6.4. MANUTENÇÃO PREVENTIVA E CORRETIVA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 w:ascii="Verdana" w:hAnsi="Verdana"/>
          <w:color w:val="000000"/>
          <w:sz w:val="21"/>
          <w:szCs w:val="21"/>
        </w:rPr>
        <w:t xml:space="preserve">a)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>Manutenção Preventiva:</w:t>
      </w:r>
      <w:r>
        <w:rPr>
          <w:rFonts w:cs="Arial" w:ascii="Verdana" w:hAnsi="Verdana"/>
          <w:color w:val="000000"/>
          <w:sz w:val="21"/>
          <w:szCs w:val="21"/>
        </w:rPr>
        <w:t xml:space="preserve"> Caracteriza-se pela execução de procedimentos planejados (inspeção, limpeza, ajuste, lubrificação) com o objetivo de evitar a paralisação do equipamento, reduzir falhas e aumentar sua vida útil. 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 w:ascii="Verdana" w:hAnsi="Verdana"/>
          <w:color w:val="000000"/>
          <w:sz w:val="21"/>
          <w:szCs w:val="21"/>
        </w:rPr>
        <w:t xml:space="preserve">b)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>Manutenção Corretiva:</w:t>
      </w:r>
      <w:r>
        <w:rPr>
          <w:rFonts w:cs="Arial" w:ascii="Verdana" w:hAnsi="Verdana"/>
          <w:color w:val="000000"/>
          <w:sz w:val="21"/>
          <w:szCs w:val="21"/>
        </w:rPr>
        <w:t xml:space="preserve"> Caracteriza-se pela atuação reativa, visando o diagnóstico e a substituição/reparo de peças ou componentes que causaram a parada ou o mau funcionamento do equipamento.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 w:ascii="Verdana" w:hAnsi="Verdana"/>
          <w:color w:val="000000"/>
          <w:sz w:val="21"/>
          <w:szCs w:val="21"/>
        </w:rPr>
        <w:t xml:space="preserve">c)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>Qualificação da Equipe:</w:t>
      </w:r>
      <w:r>
        <w:rPr>
          <w:rFonts w:cs="Arial" w:ascii="Verdana" w:hAnsi="Verdana"/>
          <w:color w:val="000000"/>
          <w:sz w:val="21"/>
          <w:szCs w:val="21"/>
        </w:rPr>
        <w:t xml:space="preserve"> Os serviços (preventivos e corretivos) deverão ser realizados por equipe técnica qualificada, devidamente uniformizada e identificada, utilizando ferramentas e equipamentos próprios, respeitando as especificações e quantitativos deste contrato 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 w:ascii="Verdana" w:hAnsi="Verdana"/>
          <w:color w:val="000000"/>
          <w:sz w:val="21"/>
          <w:szCs w:val="21"/>
        </w:rPr>
        <w:t xml:space="preserve">d)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>Execução da Preventiva:</w:t>
      </w:r>
      <w:r>
        <w:rPr>
          <w:rFonts w:cs="Arial" w:ascii="Verdana" w:hAnsi="Verdana"/>
          <w:color w:val="000000"/>
          <w:sz w:val="21"/>
          <w:szCs w:val="21"/>
        </w:rPr>
        <w:t xml:space="preserve"> A CONTRATADA executará a manutenção preventiva em cronograma compatível com o expediente dos setores da Secretaria Municipal de Saúde, acompanhada pelo supervisor designado. 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 w:ascii="Verdana" w:hAnsi="Verdana"/>
          <w:color w:val="000000"/>
          <w:sz w:val="21"/>
          <w:szCs w:val="21"/>
        </w:rPr>
        <w:t xml:space="preserve">e)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>Execução da Corretiva e Prazos:</w:t>
      </w:r>
      <w:r>
        <w:rPr>
          <w:rFonts w:cs="Arial" w:ascii="Verdana" w:hAnsi="Verdana"/>
          <w:color w:val="000000"/>
          <w:sz w:val="21"/>
          <w:szCs w:val="21"/>
        </w:rPr>
        <w:t xml:space="preserve"> A manutenção corretiva será acionada pelo Fiscal do Contrato, devendo a CONTRATADA atender ao chamado em até 24 (vinte e quatro)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 xml:space="preserve"> horas</w:t>
      </w:r>
      <w:r>
        <w:rPr>
          <w:rFonts w:cs="Arial" w:ascii="Verdana" w:hAnsi="Verdana"/>
          <w:color w:val="000000"/>
          <w:sz w:val="21"/>
          <w:szCs w:val="21"/>
        </w:rPr>
        <w:t xml:space="preserve"> a partir da solicitação, sendo possível a prorrogação apenas mediante pedido fundamentado e aceite da CONTRATANTE. 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Arial" w:ascii="Verdana" w:hAnsi="Verdana"/>
          <w:color w:val="000000"/>
          <w:sz w:val="21"/>
          <w:szCs w:val="21"/>
        </w:rPr>
        <w:t xml:space="preserve">f)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 xml:space="preserve"> Manutenção em Oficina e Substituição:</w:t>
      </w:r>
      <w:r>
        <w:rPr>
          <w:rFonts w:cs="Arial" w:ascii="Verdana" w:hAnsi="Verdana"/>
          <w:b w:val="false"/>
          <w:strike w:val="false"/>
          <w:dstrike w:val="false"/>
          <w:color w:val="000000"/>
          <w:sz w:val="21"/>
          <w:szCs w:val="21"/>
          <w:u w:val="none"/>
          <w:effect w:val="none"/>
        </w:rPr>
        <w:t xml:space="preserve"> Caso o reparo não possa ser realizado nas dependências da contratante, a remoção do equipamento para a oficina da CONTRATADA dependerá de autorização expressa, justificativa técnica escrita e definição de prazo de retorno. Nesses casos, a CONTRATADA deverá </w:t>
      </w:r>
      <w:r>
        <w:rPr>
          <w:rStyle w:val="Strong"/>
          <w:rFonts w:cs="Arial" w:ascii="Verdana" w:hAnsi="Verdana"/>
          <w:b/>
          <w:strike w:val="false"/>
          <w:dstrike w:val="false"/>
          <w:color w:val="000000"/>
          <w:sz w:val="21"/>
          <w:szCs w:val="21"/>
          <w:u w:val="none"/>
          <w:effect w:val="none"/>
        </w:rPr>
        <w:t>substituir imediatamente</w:t>
      </w:r>
      <w:r>
        <w:rPr>
          <w:rFonts w:cs="Arial" w:ascii="Verdana" w:hAnsi="Verdana"/>
          <w:b w:val="false"/>
          <w:strike w:val="false"/>
          <w:dstrike w:val="false"/>
          <w:color w:val="000000"/>
          <w:sz w:val="21"/>
          <w:szCs w:val="21"/>
          <w:u w:val="none"/>
          <w:effect w:val="none"/>
        </w:rPr>
        <w:t xml:space="preserve"> o equipamento por outro equivalente para evitar a interrupção das atividades.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  <w:u w:val="single"/>
        </w:rPr>
      </w:r>
    </w:p>
    <w:p>
      <w:pPr>
        <w:pStyle w:val="Nivel1"/>
        <w:spacing w:lineRule="auto" w:line="276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iCs/>
          <w:color w:val="auto"/>
          <w:sz w:val="22"/>
          <w:szCs w:val="22"/>
        </w:rPr>
        <w:t xml:space="preserve">7. FORMA E CRITÉRIOS DE SELEÇÃO DO FORNECEDOR 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7.1.</w:t>
      </w:r>
      <w:r>
        <w:rPr>
          <w:rFonts w:ascii="Verdana" w:hAnsi="Verdana"/>
          <w:sz w:val="22"/>
          <w:szCs w:val="22"/>
        </w:rPr>
        <w:t xml:space="preserve"> O fornecedor será selecionado por meio da realização de procedimento licitatório, com fundamento na hipótese do art. 29, da Lei n.º 14.133/2021 </w:t>
      </w:r>
      <w:r>
        <w:rPr>
          <w:rFonts w:ascii="Verdana" w:hAnsi="Verdana"/>
          <w:iCs/>
          <w:sz w:val="22"/>
          <w:szCs w:val="22"/>
        </w:rPr>
        <w:t>que culminará com a seleção da proposta de menor preço global.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iCs/>
          <w:sz w:val="22"/>
          <w:szCs w:val="22"/>
        </w:rPr>
        <w:t>8. DAS SANÇÕES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8.1.1. Dar causa à inexecução parcial do contrato.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8.1.3. Dar causa à inexecução total;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8.1.4. Deixar de entregar a documentação exigida para o certame.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8.1.5. Não manter a proposta, salvo em decorrência de fato superveniente devidamente justificado.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8.1.6.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8.1.7. Ensejar o retardamento da execução ou da entrega do objeto sem motivo justificado,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8.1.9. Fraudar a dispensa eletrônica ou praticar ato fraudulento na execução do objeto.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8.1.10. Comportar-se de modo inidôneo ou cometer fraude de qualquer natureza.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8.1.11. Praticar atos ilícitos com vistas a frustrar os objetivos deste certame.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8.1.12. Praticar ato lesivo previsto no art. 5º da Lei nº 12.846, de 1º de agosto de 2013.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      </w:t>
      </w:r>
      <w:r>
        <w:rPr>
          <w:rFonts w:ascii="Verdana" w:hAnsi="Verdana"/>
          <w:iCs/>
          <w:sz w:val="22"/>
          <w:szCs w:val="22"/>
        </w:rPr>
        <w:t>a) Advertência pela falta do subitem 8.1.1 deste Termo de Referência, quando não se justificar a imposição de penalidade mais grave.</w:t>
      </w:r>
    </w:p>
    <w:p>
      <w:pPr>
        <w:pStyle w:val="Normal"/>
        <w:spacing w:lineRule="auto" w:line="276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      </w:t>
      </w:r>
      <w:r>
        <w:rPr>
          <w:rFonts w:ascii="Verdana" w:hAnsi="Verdana"/>
          <w:iCs/>
          <w:sz w:val="22"/>
          <w:szCs w:val="22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                    </w:t>
      </w:r>
      <w:r>
        <w:rPr>
          <w:rFonts w:ascii="Verdana" w:hAnsi="Verdana"/>
          <w:iCs/>
          <w:sz w:val="22"/>
          <w:szCs w:val="22"/>
        </w:rPr>
        <w:t>b.1) O valor da multa poderá ser descontado das faturas devidas à CONTRATADA;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                     </w:t>
      </w:r>
      <w:r>
        <w:rPr>
          <w:rFonts w:ascii="Verdana" w:hAnsi="Verdana"/>
          <w:iCs/>
          <w:sz w:val="22"/>
          <w:szCs w:val="22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         </w:t>
      </w:r>
      <w:r>
        <w:rPr>
          <w:rFonts w:ascii="Verdana" w:hAnsi="Verdana"/>
          <w:iCs/>
          <w:sz w:val="22"/>
          <w:szCs w:val="22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 xml:space="preserve">         </w:t>
      </w:r>
      <w:r>
        <w:rPr>
          <w:rFonts w:ascii="Verdana" w:hAnsi="Verdana"/>
          <w:iCs/>
          <w:sz w:val="22"/>
          <w:szCs w:val="22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8.3. Na aplicação das sanções serão considerados: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8.3.1. A natureza e a gravidade da infração cometida.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8.3.2. As peculiaridades do caso concreto.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8.3.3. As circunstâncias agravantes ou atenuantes.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8.3.4. Os danos que dela provierem para a Administração Pública.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8.3.5. A implantação ou o aperfeiçoamento de programa de integridade, conforme normas e orientações dos órgãos de controle.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iCs/>
          <w:sz w:val="22"/>
          <w:szCs w:val="22"/>
        </w:rPr>
      </w:pPr>
      <w:r>
        <w:rPr>
          <w:rFonts w:ascii="Verdana" w:hAnsi="Verdana"/>
          <w:iCs/>
          <w:sz w:val="22"/>
          <w:szCs w:val="22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/>
        <w:ind w:hanging="0" w:left="0" w:right="0"/>
        <w:jc w:val="both"/>
        <w:rPr/>
      </w:pPr>
      <w:r>
        <w:rPr>
          <w:rFonts w:ascii="Verdana" w:hAnsi="Verdana"/>
          <w:b/>
          <w:bCs/>
          <w:sz w:val="21"/>
          <w:szCs w:val="21"/>
          <w:u w:val="none"/>
          <w:lang w:eastAsia="en-US"/>
        </w:rPr>
        <w:t>9. DA HABILITAÇÃO</w:t>
      </w:r>
      <w:r>
        <w:rPr>
          <w:rFonts w:ascii="Verdana" w:hAnsi="Verdana"/>
          <w:sz w:val="21"/>
          <w:szCs w:val="21"/>
          <w:u w:val="none"/>
          <w:lang w:eastAsia="en-US"/>
        </w:rPr>
        <w:t xml:space="preserve"> </w:t>
      </w:r>
    </w:p>
    <w:p>
      <w:pPr>
        <w:pStyle w:val="Normal"/>
        <w:spacing w:lineRule="auto" w:line="276"/>
        <w:ind w:hanging="0" w:left="-79" w:right="0"/>
        <w:jc w:val="both"/>
        <w:rPr>
          <w:rFonts w:ascii="Verdana" w:hAnsi="Verdana" w:cs="Verdana"/>
          <w:b w:val="false"/>
          <w:bCs w:val="false"/>
          <w:sz w:val="21"/>
          <w:szCs w:val="21"/>
          <w:u w:val="none"/>
          <w:lang w:eastAsia="ar-SA"/>
        </w:rPr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  <w:lang w:eastAsia="ar-SA"/>
        </w:rPr>
        <w:t>9.1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sz w:val="21"/>
          <w:szCs w:val="21"/>
          <w:u w:val="none"/>
          <w:lang w:eastAsia="ar-SA"/>
        </w:rPr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  <w:lang w:eastAsia="ar-SA"/>
        </w:rPr>
        <w:t>a) SICAF;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  <w:lang w:eastAsia="ar-SA"/>
        </w:rPr>
        <w:t xml:space="preserve">b) Cadastro Nacional de Empresas Inidôneas e Suspensas – CEIS, mantido pela </w:t>
      </w: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Controladoria-Geral da União (</w:t>
      </w:r>
      <w:hyperlink r:id="rId2">
        <w:r>
          <w:rPr>
            <w:rStyle w:val="ListLabel55"/>
            <w:rFonts w:cs="Verdana" w:ascii="Verdana" w:hAnsi="Verdana"/>
            <w:b w:val="false"/>
            <w:bCs w:val="false"/>
            <w:color w:val="000000"/>
            <w:sz w:val="21"/>
            <w:szCs w:val="21"/>
            <w:u w:val="non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);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c) Cadastro Nacional de Condenações Cíveis por Atos de Improbidade Administrativa, mantido pelo Conselho Nacional de Justiça (</w:t>
      </w:r>
      <w:hyperlink r:id="rId3">
        <w:r>
          <w:rPr>
            <w:rStyle w:val="ListLabel55"/>
            <w:rFonts w:cs="Verdana" w:ascii="Verdana" w:hAnsi="Verdana"/>
            <w:b w:val="false"/>
            <w:bCs w:val="false"/>
            <w:color w:val="000000"/>
            <w:sz w:val="21"/>
            <w:szCs w:val="21"/>
            <w:u w:val="non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).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  <w:lang w:eastAsia="ar-SA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4">
        <w:r>
          <w:rPr>
            <w:rStyle w:val="ListLabel56"/>
            <w:rFonts w:cs="Verdana" w:ascii="Verdana" w:hAnsi="Verdana"/>
            <w:b w:val="false"/>
            <w:bCs w:val="false"/>
            <w:color w:val="000000"/>
            <w:sz w:val="21"/>
            <w:szCs w:val="21"/>
            <w:u w:val="non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 xml:space="preserve"> responsáveis/proibidos-de-contratar/).</w:t>
      </w:r>
    </w:p>
    <w:p>
      <w:pPr>
        <w:pStyle w:val="Normal"/>
        <w:spacing w:lineRule="auto" w:line="276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9.1.1. Para a consulta de licitantes pessoa jurídica poderá haver a substituição das consultas das alíneas “b”, “c” e “d” acima pela Consulta Consolidada de Pessoa Jurídica do TCU (</w:t>
      </w:r>
      <w:hyperlink r:id="rId5">
        <w:r>
          <w:rPr>
            <w:rStyle w:val="ListLabel55"/>
            <w:rFonts w:cs="Verdana" w:ascii="Verdana" w:hAnsi="Verdana"/>
            <w:b w:val="false"/>
            <w:bCs w:val="false"/>
            <w:color w:val="000000"/>
            <w:sz w:val="21"/>
            <w:szCs w:val="21"/>
            <w:u w:val="non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  <w:lang w:eastAsia="ar-SA"/>
        </w:rPr>
        <w:t>);</w:t>
      </w:r>
    </w:p>
    <w:p>
      <w:pPr>
        <w:pStyle w:val="Normal"/>
        <w:spacing w:lineRule="auto" w:line="276" w:before="57" w:after="57"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12.1.2.3. O licitante será convocado para manifestação previamente à sua desclassificação.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9.1.3 .Constatada a existência de sanção, o Pregoeiro reputará o licitante inabilitado, por falta de condição de participação.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  <w:lang w:eastAsia="ar-SA"/>
        </w:rPr>
        <w:t xml:space="preserve">9.2. </w:t>
      </w:r>
      <w:r>
        <w:rPr>
          <w:rFonts w:cs="Verdana" w:ascii="Verdana" w:hAnsi="Verdana"/>
          <w:color w:val="000000"/>
          <w:sz w:val="21"/>
          <w:szCs w:val="21"/>
          <w:u w:val="none"/>
        </w:rPr>
        <w:t xml:space="preserve">Caso atendidas as condições de participação, </w:t>
      </w:r>
      <w:r>
        <w:rPr>
          <w:rFonts w:cs="Verdana" w:ascii="Verdana" w:hAnsi="Verdana"/>
          <w:sz w:val="21"/>
          <w:szCs w:val="21"/>
          <w:u w:val="none"/>
        </w:rPr>
        <w:t>a habilitação dos licitantes será verificada por meio do SICAF, nos documentos por ele abrangidos</w:t>
      </w:r>
      <w:r>
        <w:rPr>
          <w:rFonts w:cs="Verdana" w:ascii="Verdana" w:hAnsi="Verdana"/>
          <w:sz w:val="21"/>
          <w:szCs w:val="21"/>
          <w:u w:val="none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  <w:lang w:eastAsia="ar-SA"/>
        </w:rPr>
        <w:t xml:space="preserve">9.2..1. </w:t>
      </w:r>
      <w:r>
        <w:rPr>
          <w:rFonts w:cs="Verdana" w:ascii="Verdana" w:hAnsi="Verdana"/>
          <w:sz w:val="21"/>
          <w:szCs w:val="21"/>
          <w:u w:val="none"/>
          <w:lang w:eastAsia="ar-SA"/>
        </w:rPr>
        <w:t xml:space="preserve">O interessado, para efeitos de habilitação prevista na Instrução Normativa </w:t>
      </w:r>
      <w:r>
        <w:rPr>
          <w:rFonts w:cs="Verdana" w:ascii="Verdana" w:hAnsi="Verdana"/>
          <w:b w:val="false"/>
          <w:bCs w:val="false"/>
          <w:sz w:val="21"/>
          <w:szCs w:val="21"/>
          <w:u w:val="none"/>
          <w:lang w:eastAsia="ar-SA"/>
        </w:rPr>
        <w:t>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</w:rPr>
        <w:t>9.4.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</w:rPr>
        <w:t>9.5. Não serão aceitos documentos de habilitação com indicação de CNPJ/CPF diferentes, salvo aqueles legalmente permitidos.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</w:rPr>
        <w:t>9.6.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 w:val="clear"/>
        <w:tabs>
          <w:tab w:val="clear" w:pos="708"/>
          <w:tab w:val="left" w:pos="567" w:leader="none"/>
        </w:tabs>
        <w:spacing w:lineRule="auto" w:line="276" w:before="57" w:after="57"/>
        <w:ind w:hanging="0" w:left="0" w:right="0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9.7. Os licitantes deverão encaminhar, nos termos deste Edital, a documentação relacionada nos itens a seguir, para fins de habilitação:</w:t>
      </w:r>
    </w:p>
    <w:p>
      <w:pPr>
        <w:pStyle w:val="PADRO"/>
        <w:widowControl/>
        <w:shd w:fill="FFFFFF" w:val="clear"/>
        <w:tabs>
          <w:tab w:val="clear" w:pos="708"/>
          <w:tab w:val="left" w:pos="567" w:leader="none"/>
        </w:tabs>
        <w:spacing w:lineRule="auto" w:line="240" w:before="0" w:after="0"/>
        <w:ind w:hanging="0" w:left="0" w:right="0"/>
        <w:rPr>
          <w:rFonts w:ascii="Verdana" w:hAnsi="Verdana" w:cs="Arial"/>
          <w:b/>
          <w:sz w:val="21"/>
          <w:szCs w:val="21"/>
          <w:u w:val="none"/>
        </w:rPr>
      </w:pPr>
      <w:r>
        <w:rPr>
          <w:rFonts w:cs="Arial" w:ascii="Verdana" w:hAnsi="Verdana"/>
          <w:b/>
          <w:sz w:val="21"/>
          <w:szCs w:val="21"/>
          <w:u w:val="none"/>
        </w:rPr>
      </w:r>
    </w:p>
    <w:p>
      <w:pPr>
        <w:pStyle w:val="ListParagraph"/>
        <w:spacing w:lineRule="auto" w:line="276" w:before="0" w:after="0"/>
        <w:ind w:hanging="0" w:left="0" w:right="0"/>
        <w:contextualSpacing/>
        <w:jc w:val="both"/>
        <w:rPr>
          <w:rFonts w:ascii="Verdana" w:hAnsi="Verdana" w:cs="Verdana"/>
          <w:b/>
          <w:bCs/>
          <w:color w:val="000000"/>
          <w:sz w:val="21"/>
          <w:szCs w:val="21"/>
          <w:u w:val="none"/>
        </w:rPr>
      </w:pPr>
      <w:r>
        <w:rPr>
          <w:rFonts w:cs="Verdana" w:ascii="Verdana" w:hAnsi="Verdana"/>
          <w:b/>
          <w:bCs/>
          <w:color w:val="000000"/>
          <w:sz w:val="21"/>
          <w:szCs w:val="21"/>
          <w:u w:val="none"/>
        </w:rPr>
        <w:tab/>
        <w:t>9.8. Habilitação jurídica</w:t>
      </w:r>
    </w:p>
    <w:p>
      <w:pPr>
        <w:pStyle w:val="ListParagraph"/>
        <w:spacing w:lineRule="auto" w:line="276" w:before="0" w:after="0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9.8.1.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 xml:space="preserve">9.8.2. Em se tratando de microempreendedor individual – MEI: Certificado da Condição de Microempreendedor Individual – CCMEI, cuja aceitação ficará condicionada à verificação da autenticidade no sítio </w:t>
      </w:r>
      <w:hyperlink r:id="rId6">
        <w:r>
          <w:rPr>
            <w:rStyle w:val="ListLabel56"/>
            <w:rFonts w:cs="Verdana" w:ascii="Verdana" w:hAnsi="Verdana"/>
            <w:b w:val="false"/>
            <w:bCs w:val="false"/>
            <w:color w:val="000000"/>
            <w:sz w:val="21"/>
            <w:szCs w:val="21"/>
            <w:u w:val="non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9.8.4.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9.8.5.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>
          <w:rFonts w:ascii="Verdana" w:hAnsi="Verdana" w:cs="Verdana"/>
          <w:b w:val="false"/>
          <w:bCs w:val="false"/>
          <w:color w:val="000000"/>
          <w:sz w:val="21"/>
          <w:szCs w:val="21"/>
          <w:u w:val="none"/>
        </w:rPr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9.8.7. No caso de empresa ou sociedade estrangeira em funcionamento no País: decreto de autorização;</w:t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 xml:space="preserve">9.8.8. </w:t>
      </w:r>
      <w:r>
        <w:rPr>
          <w:rFonts w:cs="Verdana" w:ascii="Verdana" w:hAnsi="Verdana"/>
          <w:bCs/>
          <w:color w:val="000000"/>
          <w:sz w:val="21"/>
          <w:szCs w:val="21"/>
          <w:u w:val="none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0" w:after="0"/>
        <w:ind w:hanging="0" w:left="0" w:right="0"/>
        <w:contextualSpacing/>
        <w:jc w:val="both"/>
        <w:rPr>
          <w:rFonts w:ascii="Verdana" w:hAnsi="Verdana" w:cs="Arial"/>
          <w:b/>
          <w:sz w:val="21"/>
          <w:szCs w:val="21"/>
          <w:u w:val="none"/>
        </w:rPr>
      </w:pPr>
      <w:r>
        <w:rPr>
          <w:rFonts w:cs="Arial" w:ascii="Verdana" w:hAnsi="Verdana"/>
          <w:b/>
          <w:sz w:val="21"/>
          <w:szCs w:val="21"/>
          <w:u w:val="none"/>
        </w:rPr>
      </w:r>
    </w:p>
    <w:p>
      <w:pPr>
        <w:pStyle w:val="ListParagraph"/>
        <w:spacing w:lineRule="auto" w:line="276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/>
          <w:color w:val="000000"/>
          <w:sz w:val="21"/>
          <w:szCs w:val="21"/>
          <w:u w:val="none"/>
        </w:rPr>
        <w:tab/>
        <w:t>9.9. Qualificação Econômico-Financeira</w:t>
      </w:r>
      <w:r>
        <w:rPr>
          <w:rFonts w:cs="Verdana" w:ascii="Verdana" w:hAnsi="Verdana"/>
          <w:color w:val="000000"/>
          <w:sz w:val="21"/>
          <w:szCs w:val="21"/>
          <w:u w:val="none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</w:t>
      </w:r>
      <w:r>
        <w:rPr>
          <w:rFonts w:eastAsia="Times New Roman" w:cs="Verdana" w:ascii="Verdana" w:hAnsi="Verdana"/>
          <w:b w:val="false"/>
          <w:bCs w:val="false"/>
          <w:color w:val="000000"/>
          <w:sz w:val="21"/>
          <w:szCs w:val="21"/>
          <w:u w:val="none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9.</w:t>
      </w:r>
      <w:r>
        <w:rPr>
          <w:rFonts w:eastAsia="Times New Roman" w:cs="Verdana" w:ascii="Verdana" w:hAnsi="Verdana"/>
          <w:b w:val="false"/>
          <w:bCs w:val="false"/>
          <w:color w:val="000000"/>
          <w:sz w:val="21"/>
          <w:szCs w:val="21"/>
          <w:u w:val="none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1"/>
          <w:szCs w:val="21"/>
          <w:u w:val="none"/>
        </w:rPr>
        <w:t>.2.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-57" w:right="0"/>
        <w:jc w:val="both"/>
        <w:rPr/>
      </w:pPr>
      <w:r>
        <w:rPr>
          <w:rFonts w:cs="Verdana" w:ascii="Verdana" w:hAnsi="Verdana"/>
          <w:b w:val="false"/>
          <w:bCs w:val="false"/>
          <w:sz w:val="21"/>
          <w:szCs w:val="21"/>
          <w:u w:val="none"/>
        </w:rPr>
        <w:t>9.</w:t>
      </w:r>
      <w:r>
        <w:rPr>
          <w:rFonts w:eastAsia="Times New Roman" w:cs="Verdana" w:ascii="Verdana" w:hAnsi="Verdana"/>
          <w:b w:val="false"/>
          <w:bCs w:val="false"/>
          <w:sz w:val="21"/>
          <w:szCs w:val="21"/>
          <w:u w:val="none"/>
        </w:rPr>
        <w:t>9</w:t>
      </w:r>
      <w:r>
        <w:rPr>
          <w:rFonts w:cs="Verdana" w:ascii="Verdana" w:hAnsi="Verdana"/>
          <w:b w:val="false"/>
          <w:bCs w:val="false"/>
          <w:sz w:val="21"/>
          <w:szCs w:val="21"/>
          <w:u w:val="none"/>
        </w:rPr>
        <w:t>.3. Para a contagem do prazo estabelecido na letra “a” deste capítulo, será contado a partir do primeiro dia que antecede a data da realização desta dispensa de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-79" w:right="0"/>
        <w:jc w:val="both"/>
        <w:rPr/>
      </w:pPr>
      <w:r>
        <w:rPr>
          <w:rFonts w:cs="Verdana" w:ascii="Verdana" w:hAnsi="Verdana"/>
          <w:b w:val="false"/>
          <w:bCs w:val="false"/>
          <w:iCs/>
          <w:color w:val="000000"/>
          <w:sz w:val="21"/>
          <w:szCs w:val="21"/>
          <w:u w:val="none"/>
          <w:lang w:eastAsia="en-US"/>
        </w:rPr>
        <w:t>9.</w:t>
      </w:r>
      <w:r>
        <w:rPr>
          <w:rFonts w:eastAsia="Times New Roman" w:cs="Verdana" w:ascii="Verdana" w:hAnsi="Verdana"/>
          <w:b w:val="false"/>
          <w:bCs w:val="false"/>
          <w:iCs/>
          <w:color w:val="000000"/>
          <w:sz w:val="21"/>
          <w:szCs w:val="21"/>
          <w:u w:val="none"/>
          <w:lang w:eastAsia="en-US"/>
        </w:rPr>
        <w:t>9</w:t>
      </w:r>
      <w:r>
        <w:rPr>
          <w:rFonts w:cs="Verdana" w:ascii="Verdana" w:hAnsi="Verdana"/>
          <w:b w:val="false"/>
          <w:bCs w:val="false"/>
          <w:iCs/>
          <w:color w:val="000000"/>
          <w:sz w:val="21"/>
          <w:szCs w:val="21"/>
          <w:u w:val="none"/>
          <w:lang w:eastAsia="en-US"/>
        </w:rPr>
        <w:t>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hanging="0" w:left="-79" w:right="0"/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/>
          <w:sz w:val="21"/>
          <w:szCs w:val="21"/>
        </w:rPr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10. CRITÉRIOS DE PAGAMENTO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  <w:lang w:eastAsia="en-US"/>
        </w:rPr>
        <w:t>10.1. Re</w:t>
      </w:r>
      <w:r>
        <w:rPr>
          <w:rFonts w:ascii="Verdana" w:hAnsi="Verdana"/>
          <w:sz w:val="22"/>
          <w:szCs w:val="22"/>
          <w:lang w:eastAsia="en-US"/>
        </w:rPr>
        <w:t xml:space="preserve">cebida a Nota Fiscal ou documento de cobrança equivalente, correrá o prazo de </w:t>
      </w:r>
      <w:r>
        <w:rPr>
          <w:rFonts w:eastAsia="Times New Roman" w:cs="Times New Roman" w:ascii="Verdana" w:hAnsi="Verdana"/>
          <w:sz w:val="22"/>
          <w:szCs w:val="22"/>
          <w:lang w:eastAsia="en-US"/>
        </w:rPr>
        <w:t>(30) trinta</w:t>
      </w:r>
      <w:r>
        <w:rPr>
          <w:rFonts w:ascii="Verdana" w:hAnsi="Verdana"/>
          <w:sz w:val="22"/>
          <w:szCs w:val="22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76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2"/>
          <w:szCs w:val="22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57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57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fldChar w:fldCharType="separate"/>
      </w:r>
      <w:r>
        <w:rPr>
          <w:rStyle w:val="ListLabel57"/>
          <w:rFonts w:ascii="Verdana" w:hAnsi="Verdana"/>
          <w:b w:val="false"/>
          <w:bCs w:val="false"/>
          <w:color w:val="000000"/>
          <w:sz w:val="22"/>
          <w:szCs w:val="22"/>
          <w:u w:val="none"/>
        </w:rPr>
        <w:t>inciso II do art. 75 da Lei nº 14.133, de 2021</w:t>
      </w:r>
      <w:r>
        <w:rPr>
          <w:rStyle w:val="ListLabel57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2"/>
          <w:szCs w:val="22"/>
          <w:u w:val="none"/>
        </w:rPr>
        <w:t>.</w:t>
      </w:r>
    </w:p>
    <w:p>
      <w:pPr>
        <w:pStyle w:val="Normal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2"/>
          <w:szCs w:val="22"/>
        </w:rPr>
        <w:t>10.5. A</w:t>
      </w:r>
      <w:r>
        <w:rPr>
          <w:rFonts w:ascii="Verdana" w:hAnsi="Verdana"/>
          <w:b w:val="false"/>
          <w:bCs w:val="false"/>
          <w:sz w:val="22"/>
          <w:szCs w:val="22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b w:val="false"/>
          <w:bCs w:val="false"/>
          <w:sz w:val="22"/>
          <w:szCs w:val="22"/>
          <w:lang w:eastAsia="en-US"/>
        </w:rPr>
        <w:t>.</w:t>
      </w:r>
    </w:p>
    <w:p>
      <w:pPr>
        <w:pStyle w:val="Normal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10.8. Será considerada data do pagamento o dia em que constar como emitida a ordem bancária para pagamento.</w:t>
      </w:r>
    </w:p>
    <w:p>
      <w:pPr>
        <w:pStyle w:val="Normal"/>
        <w:spacing w:lineRule="auto" w:line="276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10.9. Quando do pagamento, será efetuada a retenção tributária prevista na legislação aplicável.</w:t>
      </w:r>
    </w:p>
    <w:p>
      <w:pPr>
        <w:pStyle w:val="Normal"/>
        <w:spacing w:lineRule="auto" w:line="276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sz w:val="22"/>
          <w:szCs w:val="22"/>
          <w:lang w:eastAsia="en-US"/>
        </w:rPr>
        <w:t xml:space="preserve">10.10. O contratado regularmente optante pelo Simples Nacional, nos termos da </w:t>
      </w:r>
      <w:hyperlink r:id="rId7">
        <w:r>
          <w:rPr>
            <w:rStyle w:val="ListLabel58"/>
            <w:rFonts w:ascii="Verdana" w:hAnsi="Verdana"/>
            <w:b w:val="false"/>
            <w:bCs w:val="false"/>
            <w:sz w:val="22"/>
            <w:szCs w:val="22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2"/>
          <w:szCs w:val="22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  <w:lang w:eastAsia="en-US"/>
        </w:rPr>
        <w:t>10.11.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Calibri" w:cs="Calibri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10.11. </w:t>
      </w:r>
      <w:r>
        <w:rPr>
          <w:rFonts w:ascii="Verdana" w:hAnsi="Verdana"/>
          <w:b w:val="false"/>
          <w:bCs w:val="false"/>
          <w:sz w:val="22"/>
          <w:szCs w:val="22"/>
          <w:shd w:fill="auto" w:val="clear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</w:rPr>
        <w:t xml:space="preserve">VM = VF </w:t>
      </w: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2"/>
          <w:szCs w:val="22"/>
          <w:u w:val="single"/>
          <w:shd w:fill="auto" w:val="clear"/>
        </w:rPr>
        <w:t>0,33</w:t>
      </w: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</w:rPr>
        <w:t xml:space="preserve"> </w:t>
      </w: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  <w:vertAlign w:val="subscript"/>
        </w:rPr>
        <w:t>*</w:t>
      </w: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eastAsia="Verdana" w:cs="Verdana" w:ascii="Verdana" w:hAnsi="Verdana"/>
          <w:b w:val="false"/>
          <w:bCs w:val="false"/>
          <w:sz w:val="22"/>
          <w:szCs w:val="22"/>
          <w:shd w:fill="auto" w:val="clear"/>
        </w:rPr>
        <w:t xml:space="preserve">        </w:t>
      </w:r>
      <w:r>
        <w:rPr>
          <w:rFonts w:cs="Verdana" w:ascii="Verdana" w:hAnsi="Verdana"/>
          <w:b w:val="false"/>
          <w:bCs w:val="false"/>
          <w:sz w:val="22"/>
          <w:szCs w:val="22"/>
          <w:shd w:fill="auto" w:val="clear"/>
        </w:rPr>
        <w:t>100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2"/>
          <w:szCs w:val="22"/>
        </w:rPr>
      </w:pPr>
      <w:r>
        <w:rPr>
          <w:rFonts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 xml:space="preserve">Onde: 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2"/>
          <w:szCs w:val="22"/>
        </w:rPr>
      </w:pPr>
      <w:r>
        <w:rPr>
          <w:rFonts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 xml:space="preserve">VM = Valor da Multa Financeira; </w:t>
      </w:r>
    </w:p>
    <w:p>
      <w:pPr>
        <w:pStyle w:val="Normal"/>
        <w:suppressAutoHyphens w:val="false"/>
        <w:spacing w:lineRule="auto" w:line="276"/>
        <w:rPr>
          <w:rFonts w:ascii="Verdana" w:hAnsi="Verdana"/>
          <w:sz w:val="22"/>
          <w:szCs w:val="22"/>
        </w:rPr>
      </w:pPr>
      <w:r>
        <w:rPr>
          <w:rFonts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76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>ND = Número de dias em atraso.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10.12.. </w:t>
      </w:r>
      <w:r>
        <w:rPr>
          <w:rFonts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10.13.</w:t>
      </w:r>
      <w:r>
        <w:rPr>
          <w:rFonts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10.14. </w:t>
      </w:r>
      <w:r>
        <w:rPr>
          <w:rFonts w:cs="Arial;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>O CONTRATANTE poderá deduzir do pagamento importâncias que a qualquer título lhe forem devidos pela empresa CONTRATADA, em decorrência de descumprimento de suas obrigaçõ</w:t>
      </w:r>
      <w:r>
        <w:rPr>
          <w:rFonts w:cs="Arial;Arial" w:ascii="Verdana" w:hAnsi="Verdana"/>
          <w:color w:val="000000"/>
          <w:sz w:val="22"/>
          <w:szCs w:val="22"/>
          <w:shd w:fill="auto" w:val="clear"/>
        </w:rPr>
        <w:t>es.</w:t>
      </w:r>
    </w:p>
    <w:p>
      <w:pPr>
        <w:pStyle w:val="Default"/>
        <w:spacing w:lineRule="auto" w:line="276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;Arial" w:ascii="Verdana" w:hAnsi="Verdana"/>
          <w:b w:val="false"/>
          <w:bCs w:val="false"/>
          <w:color w:val="000000"/>
          <w:kern w:val="0"/>
          <w:sz w:val="22"/>
          <w:szCs w:val="22"/>
          <w:u w:val="none"/>
          <w:shd w:fill="auto" w:val="clear"/>
          <w:lang w:val="pt-BR" w:eastAsia="zh-CN" w:bidi="ar-SA"/>
        </w:rPr>
        <w:t xml:space="preserve">10.15. </w:t>
      </w:r>
      <w:r>
        <w:rPr>
          <w:rFonts w:cs="Arial;Arial" w:ascii="Verdana" w:hAnsi="Verdana"/>
          <w:b w:val="false"/>
          <w:bCs w:val="false"/>
          <w:sz w:val="22"/>
          <w:szCs w:val="22"/>
          <w:u w:val="none"/>
          <w:shd w:fill="auto" w:val="clear"/>
          <w:lang w:eastAsia="en-US"/>
        </w:rPr>
        <w:t xml:space="preserve">Para a efetivação do pagamento, a CONTRATADA deverá manter as mesmas </w:t>
      </w:r>
      <w:r>
        <w:rPr>
          <w:rFonts w:cs="Arial;Arial" w:ascii="Verdana" w:hAnsi="Verdana"/>
          <w:b w:val="false"/>
          <w:bCs w:val="false"/>
          <w:sz w:val="22"/>
          <w:szCs w:val="22"/>
          <w:u w:val="none"/>
          <w:shd w:fill="auto" w:val="clear"/>
          <w:lang w:eastAsia="pt-BR"/>
        </w:rPr>
        <w:t>condições relativas à proposta de preço e a habilitação;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Verdana" w:hAnsi="Verdana" w:cs="Arial"/>
          <w:b/>
          <w:color w:val="000000"/>
          <w:sz w:val="22"/>
          <w:szCs w:val="22"/>
          <w:shd w:fill="auto" w:val="clear"/>
        </w:rPr>
      </w:pPr>
      <w:r>
        <w:rPr>
          <w:rFonts w:cs="Arial" w:ascii="Verdana" w:hAnsi="Verdana"/>
          <w:b/>
          <w:color w:val="000000"/>
          <w:sz w:val="22"/>
          <w:szCs w:val="22"/>
          <w:shd w:fill="auto" w:val="clear"/>
        </w:rPr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  <w:shd w:fill="auto" w:val="clear"/>
        </w:rPr>
        <w:t xml:space="preserve">11. </w:t>
      </w:r>
      <w:r>
        <w:rPr>
          <w:rFonts w:cs="Arial" w:ascii="Verdana" w:hAnsi="Verdana"/>
          <w:b/>
          <w:sz w:val="22"/>
          <w:szCs w:val="22"/>
        </w:rPr>
        <w:t xml:space="preserve"> RESULTADOS PRETENDIDOS COM A CONTRATAÇÃO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11.1. Os resultados pretendidos com a contratação tem como pilar a melhoria no atendimento ao cidadão, bem como garantir qualidade nos trabalhos realizados pelas Unidades Administrativas do município de São Gabriel da Palha.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12. PROVIDÊNCIAS A SEREM ADOTADAS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12.1.</w:t>
      </w:r>
      <w:r>
        <w:rPr>
          <w:rFonts w:cs="Arial" w:ascii="Verdana" w:hAnsi="Verdana"/>
          <w:b/>
          <w:bCs/>
          <w:sz w:val="22"/>
          <w:szCs w:val="22"/>
        </w:rPr>
        <w:t xml:space="preserve">  </w:t>
      </w:r>
      <w:r>
        <w:rPr>
          <w:rFonts w:cs="Arial" w:ascii="Verdana" w:hAnsi="Verdana"/>
          <w:b w:val="false"/>
          <w:bCs w:val="false"/>
          <w:sz w:val="22"/>
          <w:szCs w:val="22"/>
        </w:rPr>
        <w:t>A Administração Pública contará com a Secretaria Municipal de Administração, Educação e Assistência Social, responsáveis por acompanhar o recebimento dos materiais, verificando quantidade e qualidade, conforme especificações contidas no processo licitatório.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13.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13.1.  Não se verifica contratações correlatas ou interdependentes para a viabilidade e contratação desta demanda.</w:t>
      </w:r>
    </w:p>
    <w:p>
      <w:pPr>
        <w:pStyle w:val="Normal"/>
        <w:widowControl/>
        <w:suppressAutoHyphens w:val="false"/>
        <w:bidi w:val="0"/>
        <w:spacing w:lineRule="auto" w:line="276" w:before="0" w:after="0"/>
        <w:ind w:hanging="0" w:left="0" w:right="0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  <w:shd w:fill="auto" w:val="clear"/>
        </w:rPr>
        <w:t>14.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  <w:shd w:fill="auto" w:val="clear"/>
        </w:rPr>
        <w:t>14.1. 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 DECLARAÇÃO  E JUSTIFICATIVA DA VIABILIDADE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15.1.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shd w:fill="auto" w:val="clear"/>
        </w:rPr>
        <w:t>15.2. Considerando a necessidade de prover equipamentos de impressão, para atendimentos ao cidadão e manutenção dos trabalhos realizados pelas unidades administrativas, decidiu-se pela aquisição do serviço.</w:t>
      </w:r>
    </w:p>
    <w:p>
      <w:pPr>
        <w:pStyle w:val="Normal"/>
        <w:spacing w:lineRule="auto" w:line="276" w:before="0" w:after="0"/>
        <w:jc w:val="both"/>
        <w:rPr>
          <w:rFonts w:cs="Arial"/>
          <w:b w:val="false"/>
          <w:bCs w:val="false"/>
          <w:shd w:fill="auto" w:val="clear"/>
        </w:rPr>
      </w:pPr>
      <w:r>
        <w:rPr>
          <w:rFonts w:cs="Arial"/>
          <w:b w:val="false"/>
          <w:bCs w:val="false"/>
          <w:shd w:fill="auto" w:val="clear"/>
        </w:rPr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Verdana" w:hAnsi="Verdana"/>
          <w:sz w:val="21"/>
          <w:szCs w:val="21"/>
        </w:rPr>
      </w:pPr>
      <w:r>
        <w:rPr>
          <w:rFonts w:cs="Arial" w:ascii="Verdana" w:hAnsi="Verdana"/>
          <w:b/>
          <w:color w:val="auto"/>
          <w:sz w:val="21"/>
          <w:szCs w:val="21"/>
        </w:rPr>
        <w:t>16. JUSTIFICATIVA PARA O PARCELAMENTO OU NÃO DA SOLUÇÃO</w:t>
      </w:r>
    </w:p>
    <w:p>
      <w:pPr>
        <w:pStyle w:val="Normal"/>
        <w:spacing w:lineRule="auto" w:line="276" w:before="0" w:after="0"/>
        <w:ind w:hanging="0" w:left="0" w:right="-425"/>
        <w:jc w:val="both"/>
        <w:rPr>
          <w:rFonts w:ascii="Verdana" w:hAnsi="Verdana"/>
          <w:sz w:val="21"/>
          <w:szCs w:val="21"/>
        </w:rPr>
      </w:pPr>
      <w:r>
        <w:rPr>
          <w:rFonts w:cs="Arial" w:ascii="Verdana" w:hAnsi="Verdana"/>
          <w:b w:val="false"/>
          <w:bCs w:val="false"/>
          <w:sz w:val="21"/>
          <w:szCs w:val="21"/>
          <w:shd w:fill="auto" w:val="clear"/>
        </w:rPr>
        <w:t>16.1. O objeto da contratação será composto por 02 itens de lote único.</w:t>
      </w:r>
    </w:p>
    <w:p>
      <w:pPr>
        <w:pStyle w:val="Normal"/>
        <w:spacing w:before="0" w:after="0"/>
        <w:ind w:hanging="0" w:left="0" w:right="-425"/>
        <w:jc w:val="both"/>
        <w:rPr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17. ADEQUAÇÃO ORÇAMENTÁRIA </w:t>
      </w:r>
    </w:p>
    <w:p>
      <w:pPr>
        <w:pStyle w:val="Normal"/>
        <w:spacing w:lineRule="auto" w:line="276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17.1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>
      <w:pPr>
        <w:pStyle w:val="Normal"/>
        <w:spacing w:lineRule="auto" w:line="276"/>
        <w:ind w:hanging="0" w:left="0" w:right="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numPr>
          <w:ilvl w:val="0"/>
          <w:numId w:val="4"/>
        </w:numPr>
        <w:spacing w:lineRule="auto" w:line="276"/>
        <w:jc w:val="both"/>
        <w:rPr>
          <w:u w:val="none"/>
        </w:rPr>
      </w:pPr>
      <w:r>
        <w:rPr>
          <w:rFonts w:cs="Arial" w:ascii="Verdana" w:hAnsi="Verdana"/>
          <w:b/>
          <w:sz w:val="22"/>
          <w:szCs w:val="22"/>
          <w:u w:val="none"/>
        </w:rPr>
        <w:t>SECRETARIA MUNICIPAL DE ADMINISTRAÇÃO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  <w:u w:val="none"/>
        </w:rPr>
      </w:pPr>
      <w:r>
        <w:rPr>
          <w:rFonts w:ascii="Verdana" w:hAnsi="Verdana"/>
          <w:sz w:val="22"/>
          <w:szCs w:val="22"/>
          <w:u w:val="none"/>
        </w:rPr>
        <w:t>FICHA – FONTE: 00099-15000000000</w:t>
      </w:r>
      <w:r>
        <w:rPr>
          <w:rFonts w:ascii="Verdana" w:hAnsi="Verdana"/>
          <w:b w:val="false"/>
          <w:bCs w:val="false"/>
          <w:sz w:val="22"/>
          <w:szCs w:val="22"/>
          <w:u w:val="none"/>
        </w:rPr>
        <w:t xml:space="preserve"> No valor de </w:t>
      </w: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lang w:eastAsia="en-US"/>
        </w:rPr>
        <w:t>R$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lang w:eastAsia="en-US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pt-BR" w:eastAsia="en-US" w:bidi="ar-SA"/>
        </w:rPr>
        <w:t>4.025,00 (quatro mil e vinte e cinco reais) mensal e o valor de R$ 48.300,00 (quarenta e oito mil e trezentos reais) ao ano.</w:t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lang w:val="pt-BR" w:eastAsia="en-US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lang w:val="pt-BR" w:eastAsia="en-US" w:bidi="ar-SA"/>
        </w:rPr>
      </w:r>
    </w:p>
    <w:p>
      <w:pPr>
        <w:pStyle w:val="Normal"/>
        <w:numPr>
          <w:ilvl w:val="0"/>
          <w:numId w:val="5"/>
        </w:numPr>
        <w:spacing w:lineRule="auto" w:line="276"/>
        <w:jc w:val="both"/>
        <w:rPr>
          <w:u w:val="none"/>
        </w:rPr>
      </w:pPr>
      <w:r>
        <w:rPr>
          <w:rFonts w:eastAsia="Times New Roman" w:cs="Times New Roman" w:ascii="Verdana" w:hAnsi="Verdan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pt-BR" w:eastAsia="en-US" w:bidi="ar-SA"/>
        </w:rPr>
        <w:t>SECRETARIA MUNICIPAL DE EDUCAÇÃO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  <w:u w:val="none"/>
        </w:rPr>
      </w:pPr>
      <w:r>
        <w:rPr>
          <w:rFonts w:ascii="Verdana" w:hAnsi="Verdana"/>
          <w:sz w:val="22"/>
          <w:szCs w:val="22"/>
          <w:u w:val="none"/>
        </w:rPr>
        <w:t>FICHA – FONTE: 00585-150000250000</w:t>
      </w:r>
      <w:r>
        <w:rPr>
          <w:rFonts w:ascii="Verdana" w:hAnsi="Verdana"/>
          <w:b w:val="false"/>
          <w:bCs w:val="false"/>
          <w:sz w:val="22"/>
          <w:szCs w:val="22"/>
          <w:u w:val="none"/>
        </w:rPr>
        <w:t xml:space="preserve"> No valor de </w:t>
      </w: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lang w:eastAsia="en-US"/>
        </w:rPr>
        <w:t>R$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lang w:eastAsia="en-US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pt-BR" w:eastAsia="en-US" w:bidi="ar-SA"/>
        </w:rPr>
        <w:t>6.917,40 (seis mil novecentos e dezessete reais e quarenta  centavos) mensal e o valor de R$ 83.008,80 (oitenta e três mil oito reais e oitenta centavos) ao ano.</w:t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lang w:val="pt-BR" w:eastAsia="en-US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lang w:val="pt-BR" w:eastAsia="en-US" w:bidi="ar-SA"/>
        </w:rPr>
      </w:r>
    </w:p>
    <w:p>
      <w:pPr>
        <w:pStyle w:val="Normal"/>
        <w:numPr>
          <w:ilvl w:val="0"/>
          <w:numId w:val="6"/>
        </w:numPr>
        <w:spacing w:lineRule="auto" w:line="276"/>
        <w:jc w:val="both"/>
        <w:rPr>
          <w:u w:val="none"/>
        </w:rPr>
      </w:pPr>
      <w:r>
        <w:rPr>
          <w:rFonts w:eastAsia="Times New Roman" w:cs="Times New Roman" w:ascii="Verdana" w:hAnsi="Verdana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pt-BR" w:eastAsia="en-US" w:bidi="ar-SA"/>
        </w:rPr>
        <w:t>SECRETARIA MUNICIPAL DO TRABALHO ASSISTÊNCIA, DESENVOLVIMENTO SOCIAL E FAMÍLIA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2"/>
          <w:szCs w:val="22"/>
          <w:u w:val="none"/>
          <w:lang w:val="pt-BR" w:eastAsia="en-US" w:bidi="ar-SA"/>
        </w:rPr>
        <w:t>FICHA – FONTE: 00124-150000000000 No valor de  R$ 1.690,00 (Um mil, seiscentos e noventa reais) mensal e o valor de R$ 20.280,00 (vinte mil duzentos e oitenta reais) ao ano.</w:t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u w:val="none"/>
          <w:lang w:val="pt-BR" w:eastAsia="en-US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u w:val="none"/>
          <w:lang w:val="pt-BR" w:eastAsia="en-US" w:bidi="ar-SA"/>
        </w:rPr>
      </w:r>
    </w:p>
    <w:p>
      <w:pPr>
        <w:pStyle w:val="Normal"/>
        <w:widowControl w:val="false"/>
        <w:tabs>
          <w:tab w:val="clear" w:pos="708"/>
        </w:tabs>
        <w:spacing w:lineRule="auto" w:line="276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color w:val="000000"/>
          <w:sz w:val="22"/>
          <w:szCs w:val="22"/>
        </w:rPr>
        <w:t xml:space="preserve">VALOR TOTAL MENSAL (todas as ug): </w:t>
      </w:r>
      <w:r>
        <w:rPr>
          <w:rFonts w:ascii="Verdana" w:hAnsi="Verdana"/>
          <w:b/>
          <w:color w:val="000000"/>
          <w:sz w:val="22"/>
          <w:szCs w:val="22"/>
          <w:lang w:eastAsia="en-US"/>
        </w:rPr>
        <w:t xml:space="preserve">R$ </w:t>
      </w:r>
      <w:r>
        <w:rPr>
          <w:rFonts w:eastAsia="Times New Roman" w:cs="Times New Roman" w:ascii="Verdana" w:hAnsi="Verdana"/>
          <w:b/>
          <w:color w:val="000000"/>
          <w:sz w:val="22"/>
          <w:szCs w:val="22"/>
          <w:lang w:eastAsia="en-US"/>
        </w:rPr>
        <w:t xml:space="preserve"> </w:t>
      </w:r>
      <w:r>
        <w:rPr>
          <w:rFonts w:eastAsia="Times New Roman" w:cs="Times New Roman" w:ascii="Verdana" w:hAnsi="Verdana"/>
          <w:b/>
          <w:color w:val="000000"/>
          <w:kern w:val="0"/>
          <w:sz w:val="22"/>
          <w:szCs w:val="22"/>
          <w:lang w:val="pt-BR" w:eastAsia="en-US" w:bidi="ar-SA"/>
        </w:rPr>
        <w:t>12.632,40 (doze mil seiscentos e trinta e dois reais)</w:t>
      </w:r>
    </w:p>
    <w:p>
      <w:pPr>
        <w:pStyle w:val="Normal"/>
        <w:widowControl w:val="false"/>
        <w:tabs>
          <w:tab w:val="clear" w:pos="708"/>
        </w:tabs>
        <w:spacing w:lineRule="auto" w:line="276"/>
        <w:jc w:val="left"/>
        <w:rPr>
          <w:rFonts w:eastAsia="Times New Roman" w:cs="Times New Roman"/>
          <w:b/>
          <w:color w:val="000000"/>
          <w:kern w:val="0"/>
          <w:lang w:val="pt-BR" w:eastAsia="en-US" w:bidi="ar-SA"/>
        </w:rPr>
      </w:pPr>
      <w:r>
        <w:rPr>
          <w:rFonts w:eastAsia="Times New Roman" w:cs="Times New Roman"/>
          <w:b/>
          <w:color w:val="000000"/>
          <w:kern w:val="0"/>
          <w:lang w:val="pt-BR" w:eastAsia="en-US" w:bidi="ar-SA"/>
        </w:rPr>
      </w:r>
    </w:p>
    <w:p>
      <w:pPr>
        <w:pStyle w:val="Normal"/>
        <w:widowControl w:val="false"/>
        <w:tabs>
          <w:tab w:val="clear" w:pos="708"/>
        </w:tabs>
        <w:spacing w:lineRule="auto" w:line="276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VALOR TOTAL ANUAL (todas as ug): R$ 151.588,80 (cento e cinquenta e um reais, quinhentos e oitenta e oito reais e oitenta centavos)</w:t>
      </w:r>
    </w:p>
    <w:p>
      <w:pPr>
        <w:pStyle w:val="Normal"/>
        <w:spacing w:lineRule="auto" w:line="276"/>
        <w:jc w:val="both"/>
        <w:rPr>
          <w:rFonts w:eastAsia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u w:val="none"/>
          <w:lang w:val="pt-BR" w:eastAsia="en-US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u w:val="none"/>
          <w:lang w:val="pt-BR" w:eastAsia="en-US" w:bidi="ar-SA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18.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cs="Arial" w:ascii="Verdana" w:hAnsi="Verdana"/>
          <w:b/>
          <w:bCs/>
          <w:color w:val="000000"/>
          <w:sz w:val="22"/>
          <w:szCs w:val="22"/>
        </w:rPr>
        <w:t>DOS RESPONSÁVEIS PELA ELABORAÇÃO DO TERMO DE REFERÊNCIA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>18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>na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cs="Arial" w:ascii="Verdana" w:hAnsi="Verdana"/>
          <w:b/>
          <w:sz w:val="22"/>
          <w:szCs w:val="22"/>
          <w:u w:val="single"/>
        </w:rPr>
      </w:r>
    </w:p>
    <w:p>
      <w:pPr>
        <w:pStyle w:val="Normal"/>
        <w:spacing w:lineRule="auto" w:line="276"/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São Gabriel da Palha, 20</w:t>
      </w:r>
      <w:r>
        <w:rPr>
          <w:rFonts w:ascii="Verdana" w:hAnsi="Verdana"/>
          <w:color w:val="000000"/>
          <w:sz w:val="22"/>
          <w:szCs w:val="22"/>
        </w:rPr>
        <w:t xml:space="preserve"> de julho de 2026</w:t>
      </w:r>
    </w:p>
    <w:p>
      <w:pPr>
        <w:pStyle w:val="Normal"/>
        <w:spacing w:lineRule="auto" w:line="276"/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Elaborado por: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 w:val="false"/>
          <w:bCs w:val="false"/>
          <w:color w:val="000000"/>
          <w:sz w:val="22"/>
          <w:szCs w:val="22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u w:val="non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 w:val="false"/>
          <w:bCs w:val="false"/>
          <w:color w:val="000000"/>
          <w:sz w:val="22"/>
          <w:szCs w:val="22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u w:val="none"/>
        </w:rPr>
      </w:r>
    </w:p>
    <w:p>
      <w:pPr>
        <w:pStyle w:val="Normal"/>
        <w:spacing w:lineRule="auto" w:line="276"/>
        <w:jc w:val="left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u w:val="none"/>
        </w:rPr>
        <w:t>ANDRESSA LINHARES MARTINS</w:t>
      </w:r>
    </w:p>
    <w:p>
      <w:pPr>
        <w:pStyle w:val="Normal"/>
        <w:spacing w:lineRule="auto" w:line="276"/>
        <w:jc w:val="left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u w:val="none"/>
        </w:rPr>
        <w:t>Agente de Serviços Técnicos -  Decreto nº 6.080/2026</w:t>
      </w:r>
    </w:p>
    <w:p>
      <w:pPr>
        <w:pStyle w:val="Normal"/>
        <w:spacing w:lineRule="auto" w:line="276"/>
        <w:jc w:val="left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  <w:u w:val="none"/>
        </w:rPr>
        <w:t>Mat. nº 009838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RODOLFO ANTÔNIO DA SILVA NETO</w:t>
      </w:r>
    </w:p>
    <w:p>
      <w:pPr>
        <w:pStyle w:val="Normal"/>
        <w:spacing w:lineRule="auto" w:line="27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Agente de Serviços Técnicos – Portaria n° 9.965/2025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Mat. nº 000406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 w:val="false"/>
          <w:bCs w:val="false"/>
          <w:color w:val="000000"/>
          <w:sz w:val="22"/>
          <w:szCs w:val="22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u w:val="non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 w:val="false"/>
          <w:bCs w:val="false"/>
          <w:color w:val="000000"/>
          <w:sz w:val="22"/>
          <w:szCs w:val="22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u w:val="none"/>
        </w:rPr>
      </w:r>
    </w:p>
    <w:p>
      <w:pPr>
        <w:pStyle w:val="Normal"/>
        <w:spacing w:lineRule="auto" w:line="276"/>
        <w:jc w:val="both"/>
        <w:rPr>
          <w:rFonts w:ascii="Verdana" w:hAnsi="Verdana" w:cs="Arial"/>
          <w:b w:val="false"/>
          <w:bCs w:val="false"/>
          <w:color w:val="000000"/>
          <w:sz w:val="22"/>
          <w:szCs w:val="22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  <w:u w:val="none"/>
        </w:rPr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RUTH BARBARA DA SILWA NASCIMENTO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Agente de Serviços Técnicos - Decreto n° 4.816/2025.</w:t>
      </w:r>
    </w:p>
    <w:p>
      <w:pPr>
        <w:pStyle w:val="Normal"/>
        <w:spacing w:lineRule="auto" w:line="276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Mat. nº 002983</w:t>
      </w:r>
      <w:bookmarkStart w:id="0" w:name="art122%252525252525252525252525252525252"/>
      <w:bookmarkStart w:id="1" w:name="art116"/>
      <w:bookmarkEnd w:id="0"/>
      <w:bookmarkEnd w:id="1"/>
    </w:p>
    <w:p>
      <w:pPr>
        <w:pStyle w:val="Normal"/>
        <w:spacing w:lineRule="auto" w:line="27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  <w:bookmarkStart w:id="2" w:name="art122%252525252525252525252525252525251"/>
      <w:bookmarkStart w:id="3" w:name="art122%252525252525252525252525252525253"/>
      <w:bookmarkStart w:id="4" w:name="art122%252525252525252525252525252525254"/>
      <w:bookmarkStart w:id="5" w:name="art122%252525252525252525252525252525255"/>
      <w:bookmarkStart w:id="6" w:name="art122%252525252525252525252525252525256"/>
      <w:bookmarkStart w:id="7" w:name="art122%252525252525252525252525252525257"/>
      <w:bookmarkStart w:id="8" w:name="art122%252525252525252525252525252525251"/>
      <w:bookmarkStart w:id="9" w:name="art122%252525252525252525252525252525253"/>
      <w:bookmarkStart w:id="10" w:name="art122%252525252525252525252525252525254"/>
      <w:bookmarkStart w:id="11" w:name="art122%252525252525252525252525252525255"/>
      <w:bookmarkStart w:id="12" w:name="art122%252525252525252525252525252525256"/>
      <w:bookmarkStart w:id="13" w:name="art122%252525252525252525252525252525257"/>
      <w:bookmarkEnd w:id="8"/>
      <w:bookmarkEnd w:id="9"/>
      <w:bookmarkEnd w:id="10"/>
      <w:bookmarkEnd w:id="11"/>
      <w:bookmarkEnd w:id="12"/>
      <w:bookmarkEnd w:id="13"/>
    </w:p>
    <w:sectPr>
      <w:headerReference w:type="default" r:id="rId8"/>
      <w:footerReference w:type="default" r:id="rId9"/>
      <w:type w:val="nextPage"/>
      <w:pgSz w:w="11906" w:h="16838"/>
      <w:pgMar w:left="1517" w:right="806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ourier New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360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lineRule="auto" w:line="360" w:before="240" w:after="240"/>
      <w:jc w:val="both"/>
    </w:pPr>
    <w:rPr>
      <w:b/>
    </w:rPr>
  </w:style>
  <w:style w:type="paragraph" w:styleId="Heading3">
    <w:name w:val="Heading 3"/>
    <w:basedOn w:val="LO-normal"/>
    <w:next w:val="LO-normal"/>
    <w:qFormat/>
    <w:pPr>
      <w:keepNext w:val="true"/>
      <w:keepLines/>
    </w:pPr>
    <w:rPr>
      <w:i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Hyperlink1">
    <w:name w:val="Hyperlink1"/>
    <w:qFormat/>
    <w:rPr>
      <w:color w:val="000080"/>
      <w:u w:val="single"/>
    </w:rPr>
  </w:style>
  <w:style w:type="character" w:styleId="WW8Num2z0">
    <w:name w:val="WW8Num2z0"/>
    <w:qFormat/>
    <w:rPr>
      <w:rFonts w:ascii="Arial" w:hAnsi="Arial" w:eastAsia="Batang" w:cs="Arial"/>
      <w:b/>
      <w:i w:val="false"/>
      <w:sz w:val="24"/>
      <w:szCs w:val="24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Cabealhoerodap14">
    <w:name w:val="Cabeçalho e rodapé14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 w:val="clear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fill="FFFFFF" w:val="clear"/>
      <w:suppressAutoHyphens w:val="true"/>
      <w:kinsoku w:val="true"/>
      <w:overflowPunct w:val="true"/>
      <w:autoSpaceDE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LO-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360" w:before="240" w:after="240"/>
      <w:jc w:val="both"/>
    </w:pPr>
    <w:rPr>
      <w:rFonts w:ascii="Arial" w:hAnsi="Arial" w:eastAsia="Arial" w:cs="DejaVu Sans"/>
      <w:color w:val="auto"/>
      <w:kern w:val="0"/>
      <w:sz w:val="22"/>
      <w:szCs w:val="22"/>
      <w:lang w:val="pt-BR" w:eastAsia="en-US" w:bidi="ar-SA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sz w:val="20"/>
    </w:rPr>
  </w:style>
  <w:style w:type="paragraph" w:styleId="Contedodoquadro">
    <w:name w:val="Conteúdo do quadro"/>
    <w:basedOn w:val="Normal"/>
    <w:qFormat/>
    <w:pPr/>
    <w:rPr/>
  </w:style>
  <w:style w:type="paragraph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portaldatransparencia.gov.br/ceis" TargetMode="External"/><Relationship Id="rId3" Type="http://schemas.openxmlformats.org/officeDocument/2006/relationships/hyperlink" Target="http://www.cnj.jus.br/improbidade_adm/consultar_requerido.php" TargetMode="External"/><Relationship Id="rId4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hyperlink" Target="https://certidoesapf.apps.tcu.gov.br/" TargetMode="External"/><Relationship Id="rId6" Type="http://schemas.openxmlformats.org/officeDocument/2006/relationships/hyperlink" Target="http://www.portaldoempreendedor.gov.br/" TargetMode="External"/><Relationship Id="rId7" Type="http://schemas.openxmlformats.org/officeDocument/2006/relationships/hyperlink" Target="https://www.planalto.gov.br/ccivil_03/leis/lcp/lcp123.htm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Application>LibreOffice/24.2.6.2$Windows_X86_64 LibreOffice_project/ef66aa7e36a1bb8e65bfbc63aba53045a14d0871</Application>
  <AppVersion>15.0000</AppVersion>
  <Pages>15</Pages>
  <Words>5232</Words>
  <Characters>30418</Characters>
  <CharactersWithSpaces>35580</CharactersWithSpaces>
  <Paragraphs>270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2025-08-04T15:21:14Z</cp:lastPrinted>
  <dcterms:modified xsi:type="dcterms:W3CDTF">2026-07-24T11:31:59Z</dcterms:modified>
  <cp:revision>204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